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947D4" w14:textId="7DE2C6F6" w:rsidR="00D92227" w:rsidRDefault="00F8578A" w:rsidP="004032E5">
      <w:pPr>
        <w:pStyle w:val="Titel"/>
        <w:jc w:val="both"/>
      </w:pPr>
      <w:r>
        <w:t>Beheerso</w:t>
      </w:r>
      <w:r w:rsidR="00FE0AB8" w:rsidRPr="00FE0AB8">
        <w:t xml:space="preserve">vereenkomst tussen </w:t>
      </w:r>
      <w:r w:rsidR="0006782A">
        <w:t xml:space="preserve">de gemeente en </w:t>
      </w:r>
      <w:r>
        <w:t xml:space="preserve">het </w:t>
      </w:r>
      <w:r w:rsidR="00FE0AB8" w:rsidRPr="00FE0AB8">
        <w:t>OCMW</w:t>
      </w:r>
      <w:r w:rsidR="0006782A">
        <w:t xml:space="preserve"> </w:t>
      </w:r>
      <w:r w:rsidR="00C77D88">
        <w:t>voor een geïntegreerd personeelsbeleid</w:t>
      </w:r>
      <w:r w:rsidR="00FE0AB8" w:rsidRPr="00FE0AB8">
        <w:rPr>
          <w:vertAlign w:val="superscript"/>
        </w:rPr>
        <w:footnoteReference w:id="2"/>
      </w:r>
      <w:r w:rsidR="006A688C">
        <w:t xml:space="preserve"> </w:t>
      </w:r>
      <w:r w:rsidR="006A688C">
        <w:rPr>
          <w:rStyle w:val="Voetnootmarkering"/>
        </w:rPr>
        <w:footnoteReference w:id="3"/>
      </w:r>
      <w:r w:rsidR="00DD10C1">
        <w:t xml:space="preserve"> </w:t>
      </w:r>
      <w:r w:rsidR="0047247B">
        <w:rPr>
          <w:rStyle w:val="Voetnootmarkering"/>
        </w:rPr>
        <w:footnoteReference w:id="4"/>
      </w:r>
    </w:p>
    <w:p w14:paraId="411D0683" w14:textId="4103E558" w:rsidR="00FE0AB8" w:rsidRDefault="00F8578A" w:rsidP="00FE0AB8">
      <w:pPr>
        <w:pStyle w:val="Beschrijving"/>
      </w:pPr>
      <w:r>
        <w:t>Model 0</w:t>
      </w:r>
      <w:r w:rsidR="0046556A">
        <w:t>6</w:t>
      </w:r>
      <w:r>
        <w:t>.01.20</w:t>
      </w:r>
      <w:r w:rsidR="0046556A">
        <w:t>25</w:t>
      </w:r>
      <w:r w:rsidR="00127422">
        <w:t xml:space="preserve"> </w:t>
      </w:r>
      <w:r w:rsidR="00F75B46">
        <w:t>– Marijke De Lange en Katleen Janssens</w:t>
      </w:r>
    </w:p>
    <w:p w14:paraId="2E283759" w14:textId="3430A63F" w:rsidR="00FE0AB8" w:rsidRPr="00FE0AB8" w:rsidRDefault="00DF1366" w:rsidP="004032E5">
      <w:pPr>
        <w:jc w:val="both"/>
      </w:pPr>
      <w:r w:rsidRPr="00FE0AB8">
        <w:t>TUSSEN</w:t>
      </w:r>
      <w:r w:rsidR="00FE0AB8" w:rsidRPr="00FE0AB8">
        <w:t>:</w:t>
      </w:r>
    </w:p>
    <w:p w14:paraId="57E01C2F" w14:textId="77777777" w:rsidR="00FE0AB8" w:rsidRPr="00FE0AB8" w:rsidRDefault="00FE0AB8" w:rsidP="004032E5">
      <w:pPr>
        <w:jc w:val="both"/>
      </w:pPr>
    </w:p>
    <w:p w14:paraId="4BA62285" w14:textId="2C345964" w:rsidR="00FE0AB8" w:rsidRPr="00FE0AB8" w:rsidRDefault="00F8578A" w:rsidP="004032E5">
      <w:pPr>
        <w:jc w:val="both"/>
      </w:pPr>
      <w:r>
        <w:t>G</w:t>
      </w:r>
      <w:r w:rsidR="00FE0AB8" w:rsidRPr="00FE0AB8">
        <w:t xml:space="preserve">emeente … </w:t>
      </w:r>
    </w:p>
    <w:p w14:paraId="3F87344A" w14:textId="1BFBD770" w:rsidR="00FE0AB8" w:rsidRPr="00FE0AB8" w:rsidRDefault="00FE0AB8" w:rsidP="004032E5">
      <w:pPr>
        <w:jc w:val="both"/>
      </w:pPr>
      <w:r w:rsidRPr="00FE0AB8">
        <w:t>(adres)</w:t>
      </w:r>
      <w:r w:rsidR="00743128">
        <w:t xml:space="preserve"> </w:t>
      </w:r>
      <w:r w:rsidRPr="00FE0AB8">
        <w:t>…</w:t>
      </w:r>
    </w:p>
    <w:p w14:paraId="40EDCAE8" w14:textId="63337997" w:rsidR="00FE0AB8" w:rsidRPr="00FE0AB8" w:rsidRDefault="00FE0AB8" w:rsidP="004032E5">
      <w:pPr>
        <w:jc w:val="both"/>
      </w:pPr>
      <w:r w:rsidRPr="00FE0AB8">
        <w:t>vertegenwoordigd door …</w:t>
      </w:r>
      <w:r w:rsidR="00F8578A">
        <w:t xml:space="preserve">, </w:t>
      </w:r>
      <w:r w:rsidR="002A05A3">
        <w:t>voorzitter van de gemeenteraad</w:t>
      </w:r>
      <w:r w:rsidR="00F8578A">
        <w:t>, en …., algemeen directeur,</w:t>
      </w:r>
    </w:p>
    <w:p w14:paraId="7D8DFFD1" w14:textId="77777777" w:rsidR="00FE0AB8" w:rsidRPr="00FE0AB8" w:rsidRDefault="00FE0AB8" w:rsidP="004032E5">
      <w:pPr>
        <w:jc w:val="both"/>
      </w:pPr>
      <w:r w:rsidRPr="00FE0AB8">
        <w:t xml:space="preserve">hierna genoemd </w:t>
      </w:r>
      <w:r w:rsidRPr="00FE0AB8">
        <w:rPr>
          <w:b/>
          <w:u w:val="single"/>
        </w:rPr>
        <w:t>de gemeente</w:t>
      </w:r>
      <w:r w:rsidRPr="00FE0AB8">
        <w:t>,</w:t>
      </w:r>
    </w:p>
    <w:p w14:paraId="4B9BF773" w14:textId="77777777" w:rsidR="00FE0AB8" w:rsidRPr="00FE0AB8" w:rsidRDefault="00FE0AB8" w:rsidP="004032E5">
      <w:pPr>
        <w:jc w:val="both"/>
      </w:pPr>
    </w:p>
    <w:p w14:paraId="3970E0CD" w14:textId="12FEC80C" w:rsidR="00FE0AB8" w:rsidRPr="00FE0AB8" w:rsidRDefault="00DF1366" w:rsidP="004032E5">
      <w:pPr>
        <w:jc w:val="both"/>
      </w:pPr>
      <w:r w:rsidRPr="00FE0AB8">
        <w:t xml:space="preserve">EN </w:t>
      </w:r>
    </w:p>
    <w:p w14:paraId="3A6CF323" w14:textId="77777777" w:rsidR="00FE0AB8" w:rsidRPr="00FE0AB8" w:rsidRDefault="00FE0AB8" w:rsidP="004032E5">
      <w:pPr>
        <w:jc w:val="both"/>
      </w:pPr>
    </w:p>
    <w:p w14:paraId="00B85751" w14:textId="6F562CAA" w:rsidR="00FE0AB8" w:rsidRPr="00FE0AB8" w:rsidRDefault="00FE0AB8" w:rsidP="004032E5">
      <w:pPr>
        <w:jc w:val="both"/>
      </w:pPr>
      <w:r w:rsidRPr="00FE0AB8">
        <w:t>OCMW …</w:t>
      </w:r>
    </w:p>
    <w:p w14:paraId="3AFA6A7C" w14:textId="7EF8705F" w:rsidR="00FE0AB8" w:rsidRPr="00FE0AB8" w:rsidRDefault="00FE0AB8" w:rsidP="004032E5">
      <w:pPr>
        <w:jc w:val="both"/>
      </w:pPr>
      <w:r w:rsidRPr="00FE0AB8">
        <w:t>(adres)</w:t>
      </w:r>
      <w:r w:rsidR="00743128">
        <w:t xml:space="preserve"> </w:t>
      </w:r>
      <w:r w:rsidRPr="00FE0AB8">
        <w:t>…</w:t>
      </w:r>
    </w:p>
    <w:p w14:paraId="33D3E965" w14:textId="26948D1E" w:rsidR="00FE0AB8" w:rsidRPr="00FE0AB8" w:rsidRDefault="00FE0AB8" w:rsidP="004032E5">
      <w:pPr>
        <w:jc w:val="both"/>
      </w:pPr>
      <w:r w:rsidRPr="00FE0AB8">
        <w:t>vertegenwoordigd door …</w:t>
      </w:r>
      <w:r w:rsidR="00F8578A">
        <w:t xml:space="preserve">, voorzitter van </w:t>
      </w:r>
      <w:r w:rsidR="002A05A3">
        <w:t>de raad voor maatschappelijk welzijn,</w:t>
      </w:r>
      <w:r w:rsidR="00F8578A">
        <w:t xml:space="preserve"> en …, algemeen directeur,</w:t>
      </w:r>
    </w:p>
    <w:p w14:paraId="63AD9E88" w14:textId="5F3B5B3C" w:rsidR="00FE0AB8" w:rsidRDefault="00FE0AB8" w:rsidP="004032E5">
      <w:pPr>
        <w:jc w:val="both"/>
        <w:rPr>
          <w:b/>
          <w:u w:val="single"/>
        </w:rPr>
      </w:pPr>
      <w:r w:rsidRPr="00FE0AB8">
        <w:t xml:space="preserve">hierna genoemd </w:t>
      </w:r>
      <w:r w:rsidRPr="00FE0AB8">
        <w:rPr>
          <w:b/>
          <w:u w:val="single"/>
        </w:rPr>
        <w:t>het OCMW</w:t>
      </w:r>
      <w:r w:rsidRPr="00FE0AB8">
        <w:t>,</w:t>
      </w:r>
      <w:r w:rsidRPr="00FE0AB8">
        <w:rPr>
          <w:b/>
          <w:u w:val="single"/>
        </w:rPr>
        <w:t xml:space="preserve"> </w:t>
      </w:r>
    </w:p>
    <w:p w14:paraId="03280450" w14:textId="313A19AD" w:rsidR="00F12A11" w:rsidRDefault="00F12A11" w:rsidP="004032E5">
      <w:pPr>
        <w:jc w:val="both"/>
        <w:rPr>
          <w:b/>
          <w:u w:val="single"/>
        </w:rPr>
      </w:pPr>
    </w:p>
    <w:p w14:paraId="1CF7C690" w14:textId="711DEC65" w:rsidR="00F12A11" w:rsidRPr="00F12A11" w:rsidRDefault="00B7602E" w:rsidP="004032E5">
      <w:pPr>
        <w:jc w:val="both"/>
      </w:pPr>
      <w:r>
        <w:t>waarbij g</w:t>
      </w:r>
      <w:r w:rsidR="00F12A11" w:rsidRPr="00F12A11">
        <w:t xml:space="preserve">emeente en OCMW hierna tegenover elkaar beschouwd </w:t>
      </w:r>
      <w:r>
        <w:t xml:space="preserve">worden </w:t>
      </w:r>
      <w:r w:rsidR="00F12A11" w:rsidRPr="00F12A11">
        <w:t xml:space="preserve">als </w:t>
      </w:r>
      <w:r w:rsidR="00F12A11" w:rsidRPr="00F12A11">
        <w:rPr>
          <w:b/>
          <w:u w:val="single"/>
        </w:rPr>
        <w:t>het andere bestuur</w:t>
      </w:r>
      <w:r w:rsidR="00F12A11" w:rsidRPr="00F12A11">
        <w:t>,</w:t>
      </w:r>
    </w:p>
    <w:p w14:paraId="279C1D6B" w14:textId="69640FA0" w:rsidR="00B66CB4" w:rsidRDefault="00B66CB4" w:rsidP="004032E5">
      <w:pPr>
        <w:jc w:val="both"/>
      </w:pPr>
    </w:p>
    <w:p w14:paraId="3EB86769" w14:textId="77777777" w:rsidR="005E2985" w:rsidRDefault="005E2985" w:rsidP="004032E5">
      <w:pPr>
        <w:jc w:val="both"/>
      </w:pPr>
    </w:p>
    <w:p w14:paraId="31B71DD7" w14:textId="2ECC970C" w:rsidR="00FE0AB8" w:rsidRPr="00FE0AB8" w:rsidRDefault="00DF1366" w:rsidP="004032E5">
      <w:pPr>
        <w:jc w:val="both"/>
      </w:pPr>
      <w:r>
        <w:t>WORDT ALS VOLGT OVEREENGEKOMEN:</w:t>
      </w:r>
    </w:p>
    <w:p w14:paraId="399BB468" w14:textId="77777777" w:rsidR="00B66CB4" w:rsidRPr="00FE0AB8" w:rsidRDefault="00B66CB4" w:rsidP="00FE0AB8"/>
    <w:p w14:paraId="4C4A5654" w14:textId="5D6A38EC" w:rsidR="00FE0AB8" w:rsidRPr="00E51C77" w:rsidRDefault="00FE0AB8" w:rsidP="00FE0AB8">
      <w:pPr>
        <w:rPr>
          <w:rStyle w:val="Intensievebenadrukking"/>
        </w:rPr>
      </w:pPr>
      <w:r w:rsidRPr="00E51C77">
        <w:rPr>
          <w:rStyle w:val="Intensievebenadrukking"/>
        </w:rPr>
        <w:t>Artikel 1</w:t>
      </w:r>
      <w:r w:rsidR="00066636">
        <w:rPr>
          <w:rStyle w:val="Intensievebenadrukking"/>
        </w:rPr>
        <w:t xml:space="preserve"> </w:t>
      </w:r>
      <w:r w:rsidR="00FB5238">
        <w:rPr>
          <w:rStyle w:val="Intensievebenadrukking"/>
        </w:rPr>
        <w:t>–</w:t>
      </w:r>
      <w:r w:rsidR="0001429E">
        <w:rPr>
          <w:rStyle w:val="Intensievebenadrukking"/>
        </w:rPr>
        <w:t xml:space="preserve"> </w:t>
      </w:r>
      <w:r w:rsidR="00FB5238">
        <w:rPr>
          <w:rStyle w:val="Intensievebenadrukking"/>
        </w:rPr>
        <w:t>Gemeenschappelijk gebruik van elkaars diensten</w:t>
      </w:r>
    </w:p>
    <w:p w14:paraId="6EC1536D" w14:textId="7F500EDD" w:rsidR="000A7497" w:rsidRDefault="00FB5238" w:rsidP="0006782A">
      <w:pPr>
        <w:jc w:val="both"/>
      </w:pPr>
      <w:r>
        <w:t>Met toepassing van artikel 196</w:t>
      </w:r>
      <w:r w:rsidR="00F03F1A">
        <w:t xml:space="preserve"> §2</w:t>
      </w:r>
      <w:r>
        <w:t xml:space="preserve"> D</w:t>
      </w:r>
      <w:r w:rsidR="001A31FD">
        <w:t>ecreet Lokaal Bestuur (D</w:t>
      </w:r>
      <w:r w:rsidR="006C3628">
        <w:t>LB</w:t>
      </w:r>
      <w:r w:rsidR="001A31FD">
        <w:t>)</w:t>
      </w:r>
      <w:r>
        <w:t xml:space="preserve"> werken d</w:t>
      </w:r>
      <w:r w:rsidR="00E51C77" w:rsidRPr="00E51C77">
        <w:t>e gemeente en het OCMW samen om</w:t>
      </w:r>
      <w:r w:rsidR="00066636">
        <w:t xml:space="preserve"> gemeenschappelijk gebruik te maken van elkaars diensten</w:t>
      </w:r>
      <w:r w:rsidR="000A7497">
        <w:t>.</w:t>
      </w:r>
    </w:p>
    <w:p w14:paraId="77270A3C" w14:textId="77777777" w:rsidR="000A7048" w:rsidRDefault="000A7048" w:rsidP="0006782A">
      <w:pPr>
        <w:jc w:val="both"/>
        <w:rPr>
          <w:i/>
        </w:rPr>
      </w:pPr>
    </w:p>
    <w:p w14:paraId="17B88A6B" w14:textId="4BDCF81B" w:rsidR="00E51C77" w:rsidRPr="00E51C77" w:rsidRDefault="000A7497" w:rsidP="0006782A">
      <w:pPr>
        <w:jc w:val="both"/>
      </w:pPr>
      <w:r w:rsidRPr="000A7048">
        <w:rPr>
          <w:i/>
        </w:rPr>
        <w:t>[Indien gewenst kan hierna een opsomming gemaakt worden van de diensten van het andere bestuur waarop de gemeente resp. het OCMW een beroep kan doen</w:t>
      </w:r>
      <w:r w:rsidR="00DD51E7" w:rsidRPr="000A7048">
        <w:rPr>
          <w:i/>
        </w:rPr>
        <w:t>.</w:t>
      </w:r>
      <w:r w:rsidRPr="000A7048">
        <w:rPr>
          <w:i/>
        </w:rPr>
        <w:t>]</w:t>
      </w:r>
      <w:r>
        <w:rPr>
          <w:rStyle w:val="Voetnootmarkering"/>
          <w:i/>
        </w:rPr>
        <w:footnoteReference w:id="5"/>
      </w:r>
    </w:p>
    <w:p w14:paraId="1DA2DBE0" w14:textId="7F5B814A" w:rsidR="00E51C77" w:rsidRPr="002C30A5" w:rsidRDefault="00E51C77" w:rsidP="0006782A">
      <w:pPr>
        <w:pStyle w:val="Opsomming"/>
        <w:jc w:val="both"/>
        <w:rPr>
          <w:i/>
        </w:rPr>
      </w:pPr>
      <w:r w:rsidRPr="002C30A5">
        <w:rPr>
          <w:i/>
        </w:rPr>
        <w:lastRenderedPageBreak/>
        <w:t xml:space="preserve"> (bijv. </w:t>
      </w:r>
      <w:r w:rsidR="00066636" w:rsidRPr="002C30A5">
        <w:rPr>
          <w:i/>
        </w:rPr>
        <w:t xml:space="preserve">het OCMW doet </w:t>
      </w:r>
      <w:r w:rsidR="002A05A3">
        <w:rPr>
          <w:i/>
        </w:rPr>
        <w:t xml:space="preserve">een </w:t>
      </w:r>
      <w:r w:rsidR="00066636" w:rsidRPr="002C30A5">
        <w:rPr>
          <w:i/>
        </w:rPr>
        <w:t xml:space="preserve">beroep op de dienst groenbeheer voor het onderhoud van </w:t>
      </w:r>
      <w:r w:rsidRPr="002C30A5">
        <w:rPr>
          <w:i/>
        </w:rPr>
        <w:t>het</w:t>
      </w:r>
      <w:r w:rsidR="00066636" w:rsidRPr="002C30A5">
        <w:rPr>
          <w:i/>
        </w:rPr>
        <w:t xml:space="preserve"> OCMW-domein</w:t>
      </w:r>
      <w:r w:rsidRPr="002C30A5">
        <w:rPr>
          <w:i/>
        </w:rPr>
        <w:t>)</w:t>
      </w:r>
      <w:r w:rsidR="00DD51E7">
        <w:rPr>
          <w:i/>
        </w:rPr>
        <w:t>;</w:t>
      </w:r>
    </w:p>
    <w:p w14:paraId="36E20B0B" w14:textId="1E096F42" w:rsidR="00AE2EBF" w:rsidRPr="00D43150" w:rsidRDefault="00AE2EBF" w:rsidP="0006782A">
      <w:pPr>
        <w:pStyle w:val="Opsomming"/>
        <w:jc w:val="both"/>
        <w:rPr>
          <w:i/>
        </w:rPr>
      </w:pPr>
      <w:r w:rsidRPr="00D43150">
        <w:rPr>
          <w:i/>
        </w:rPr>
        <w:t>…</w:t>
      </w:r>
    </w:p>
    <w:p w14:paraId="0BD9F246" w14:textId="77777777" w:rsidR="00E51C77" w:rsidRPr="00E51C77" w:rsidRDefault="00E51C77" w:rsidP="00E51C77"/>
    <w:p w14:paraId="312CB974" w14:textId="3BDFCE2F" w:rsidR="00FB5238" w:rsidRPr="00FB5238" w:rsidRDefault="00FB5238" w:rsidP="00E51C77">
      <w:pPr>
        <w:rPr>
          <w:rStyle w:val="Intensievebenadrukking"/>
        </w:rPr>
      </w:pPr>
      <w:r w:rsidRPr="00FB5238">
        <w:rPr>
          <w:rStyle w:val="Intensievebenadrukking"/>
        </w:rPr>
        <w:t xml:space="preserve">Artikel 2 – </w:t>
      </w:r>
      <w:r w:rsidR="002A05A3">
        <w:rPr>
          <w:rStyle w:val="Intensievebenadrukking"/>
        </w:rPr>
        <w:t>Een b</w:t>
      </w:r>
      <w:r w:rsidRPr="00FB5238">
        <w:rPr>
          <w:rStyle w:val="Intensievebenadrukking"/>
        </w:rPr>
        <w:t>eroep doen op de personeelsleden van het andere bestuur</w:t>
      </w:r>
    </w:p>
    <w:p w14:paraId="43302F5C" w14:textId="4DCA5195" w:rsidR="00E51C77" w:rsidRDefault="00290A89" w:rsidP="004032E5">
      <w:pPr>
        <w:jc w:val="both"/>
      </w:pPr>
      <w:r>
        <w:t xml:space="preserve">§1. </w:t>
      </w:r>
      <w:r w:rsidR="00FB5238">
        <w:t>Met toepassing van artikel 196 §2 DLB wensen d</w:t>
      </w:r>
      <w:r w:rsidR="00066636">
        <w:t>e gemeente en het OCMW</w:t>
      </w:r>
      <w:r w:rsidR="00FB5238" w:rsidRPr="00FB5238">
        <w:t xml:space="preserve"> </w:t>
      </w:r>
      <w:r w:rsidR="00FB5238">
        <w:t>een beroep te doen op elkaars personeelsleden</w:t>
      </w:r>
      <w:r w:rsidR="00066636">
        <w:t xml:space="preserve"> voor de functies aangeduid in het organogram.</w:t>
      </w:r>
    </w:p>
    <w:p w14:paraId="07C4BFFF" w14:textId="77777777" w:rsidR="000A7048" w:rsidRDefault="000A7048" w:rsidP="004032E5">
      <w:pPr>
        <w:jc w:val="both"/>
        <w:rPr>
          <w:i/>
        </w:rPr>
      </w:pPr>
    </w:p>
    <w:p w14:paraId="27BB2CC3" w14:textId="517FE458" w:rsidR="009D5EF4" w:rsidRPr="000A7048" w:rsidRDefault="009D5EF4" w:rsidP="004032E5">
      <w:pPr>
        <w:jc w:val="both"/>
        <w:rPr>
          <w:i/>
        </w:rPr>
      </w:pPr>
      <w:r w:rsidRPr="000A7048">
        <w:rPr>
          <w:i/>
        </w:rPr>
        <w:t xml:space="preserve">[We stellen voor om het </w:t>
      </w:r>
      <w:r w:rsidR="005417F2" w:rsidRPr="000A7048">
        <w:rPr>
          <w:i/>
        </w:rPr>
        <w:t xml:space="preserve">eengemaakte </w:t>
      </w:r>
      <w:r w:rsidRPr="000A7048">
        <w:rPr>
          <w:i/>
        </w:rPr>
        <w:t xml:space="preserve">organogram </w:t>
      </w:r>
      <w:r w:rsidR="005417F2" w:rsidRPr="000A7048">
        <w:rPr>
          <w:i/>
        </w:rPr>
        <w:t xml:space="preserve">van de gemeente en het OCMW </w:t>
      </w:r>
      <w:r w:rsidRPr="000A7048">
        <w:rPr>
          <w:i/>
          <w:u w:val="single"/>
        </w:rPr>
        <w:t>als bijlage</w:t>
      </w:r>
      <w:r w:rsidRPr="000A7048">
        <w:rPr>
          <w:i/>
        </w:rPr>
        <w:t xml:space="preserve"> </w:t>
      </w:r>
      <w:r w:rsidR="005417F2" w:rsidRPr="000A7048">
        <w:rPr>
          <w:i/>
        </w:rPr>
        <w:t xml:space="preserve">toe te voegen </w:t>
      </w:r>
      <w:r w:rsidRPr="000A7048">
        <w:rPr>
          <w:i/>
        </w:rPr>
        <w:t xml:space="preserve">waarop de functies </w:t>
      </w:r>
      <w:r w:rsidR="002772C7" w:rsidRPr="000A7048">
        <w:rPr>
          <w:i/>
        </w:rPr>
        <w:t xml:space="preserve">waarvoor men </w:t>
      </w:r>
      <w:r w:rsidR="002A05A3">
        <w:rPr>
          <w:i/>
        </w:rPr>
        <w:t xml:space="preserve">een </w:t>
      </w:r>
      <w:r w:rsidR="002772C7" w:rsidRPr="000A7048">
        <w:rPr>
          <w:i/>
        </w:rPr>
        <w:t xml:space="preserve">beroep doet op het andere bestuur </w:t>
      </w:r>
      <w:r w:rsidR="00063F07" w:rsidRPr="000A7048">
        <w:rPr>
          <w:i/>
        </w:rPr>
        <w:t xml:space="preserve">worden </w:t>
      </w:r>
      <w:r w:rsidR="002772C7" w:rsidRPr="000A7048">
        <w:rPr>
          <w:i/>
        </w:rPr>
        <w:t>aan</w:t>
      </w:r>
      <w:r w:rsidR="00063F07" w:rsidRPr="000A7048">
        <w:rPr>
          <w:i/>
        </w:rPr>
        <w:t>geduid</w:t>
      </w:r>
      <w:r w:rsidR="002772C7" w:rsidRPr="000A7048">
        <w:rPr>
          <w:i/>
        </w:rPr>
        <w:t xml:space="preserve"> met een specifiek teken of markering</w:t>
      </w:r>
      <w:r w:rsidR="00063F07" w:rsidRPr="000A7048">
        <w:rPr>
          <w:i/>
        </w:rPr>
        <w:t>. Het kan ook zinvol zijn om met twee kleuren te werken om duidelijk te maken wie de juridische werkgever is.</w:t>
      </w:r>
      <w:r w:rsidRPr="000A7048">
        <w:rPr>
          <w:i/>
        </w:rPr>
        <w:t>]</w:t>
      </w:r>
    </w:p>
    <w:p w14:paraId="651156FE" w14:textId="77777777" w:rsidR="000A7048" w:rsidRDefault="000A7048" w:rsidP="004032E5">
      <w:pPr>
        <w:jc w:val="both"/>
      </w:pPr>
    </w:p>
    <w:p w14:paraId="08FB66F4" w14:textId="220641A7" w:rsidR="00292F9E" w:rsidRDefault="00292F9E" w:rsidP="004032E5">
      <w:pPr>
        <w:jc w:val="both"/>
      </w:pPr>
      <w:r>
        <w:t xml:space="preserve">Bij de waarneming van een functie bij </w:t>
      </w:r>
      <w:r w:rsidR="00063F07">
        <w:t xml:space="preserve">het ene </w:t>
      </w:r>
      <w:r>
        <w:t xml:space="preserve">bestuur door een personeelslid van het andere bestuur, kan een waarnemingstoelage toegekend worden voor zover de rechtspositieregeling van </w:t>
      </w:r>
      <w:r w:rsidR="00F75F27">
        <w:t>beide besturen</w:t>
      </w:r>
      <w:r>
        <w:t xml:space="preserve"> erin voorziet.</w:t>
      </w:r>
    </w:p>
    <w:p w14:paraId="69840F5A" w14:textId="30B853B8" w:rsidR="00292F9E" w:rsidRDefault="00292F9E" w:rsidP="004032E5">
      <w:pPr>
        <w:jc w:val="both"/>
      </w:pPr>
    </w:p>
    <w:p w14:paraId="2A708D64" w14:textId="70401716" w:rsidR="0083462B" w:rsidRPr="00A64824" w:rsidRDefault="0083462B" w:rsidP="004032E5">
      <w:pPr>
        <w:jc w:val="both"/>
      </w:pPr>
      <w:r w:rsidRPr="00A64824">
        <w:t xml:space="preserve">§2. De leidinggevenden mogen instructies geven aan zowel gemeente- als OCMW-personeel dat (volgens het organogram) tot hun dienst </w:t>
      </w:r>
      <w:r w:rsidRPr="00560608">
        <w:t>behoort</w:t>
      </w:r>
      <w:r w:rsidR="00A64824" w:rsidRPr="00560608">
        <w:t>.</w:t>
      </w:r>
      <w:r w:rsidR="00C00AD1" w:rsidRPr="00560608">
        <w:rPr>
          <w:rStyle w:val="Voetnootmarkering"/>
        </w:rPr>
        <w:footnoteReference w:id="6"/>
      </w:r>
    </w:p>
    <w:p w14:paraId="30B6F576" w14:textId="77777777" w:rsidR="0083462B" w:rsidRPr="00A64824" w:rsidRDefault="0083462B" w:rsidP="004032E5">
      <w:pPr>
        <w:jc w:val="both"/>
      </w:pPr>
    </w:p>
    <w:p w14:paraId="3D20A7FE" w14:textId="0750F39B" w:rsidR="00E55983" w:rsidRDefault="00290A89" w:rsidP="004032E5">
      <w:pPr>
        <w:jc w:val="both"/>
      </w:pPr>
      <w:r w:rsidRPr="00A64824">
        <w:t>§</w:t>
      </w:r>
      <w:r w:rsidR="00480CC6" w:rsidRPr="00A64824">
        <w:t>3</w:t>
      </w:r>
      <w:r w:rsidRPr="00A64824">
        <w:t>. Een personeelslid van de gemeente kan geëvalueerd worden door een personeelslid van het OCMW</w:t>
      </w:r>
      <w:r>
        <w:t xml:space="preserve">, op voorwaarde dat deze laatste een leidinggevende bevoegdheid uitoefent over het gemeentepersoneelslid. </w:t>
      </w:r>
    </w:p>
    <w:p w14:paraId="3E684923" w14:textId="77777777" w:rsidR="00E55983" w:rsidRDefault="00063F07" w:rsidP="004032E5">
      <w:pPr>
        <w:jc w:val="both"/>
      </w:pPr>
      <w:r>
        <w:t xml:space="preserve">Een </w:t>
      </w:r>
      <w:r w:rsidR="00290A89">
        <w:t>personeelslid in dienst van het OCMW kan geëvalueerd worden door een personeelslid van de gemeente</w:t>
      </w:r>
      <w:r w:rsidR="00290A89" w:rsidRPr="00290A89">
        <w:t xml:space="preserve"> </w:t>
      </w:r>
      <w:r w:rsidR="00290A89">
        <w:t>op voorwaarde dat deze laatste een leidinggevende bevoegdheid uitoefent over het OCMW-personeelslid.</w:t>
      </w:r>
      <w:r w:rsidR="00FC58CF">
        <w:t xml:space="preserve"> </w:t>
      </w:r>
    </w:p>
    <w:p w14:paraId="1764678C" w14:textId="1487123A" w:rsidR="00290A89" w:rsidRDefault="00FC58CF" w:rsidP="004032E5">
      <w:pPr>
        <w:jc w:val="both"/>
      </w:pPr>
      <w:r>
        <w:t xml:space="preserve">De </w:t>
      </w:r>
      <w:r w:rsidR="00D75ED6">
        <w:t xml:space="preserve">eventuele </w:t>
      </w:r>
      <w:r>
        <w:t>juridische gevolgen van de evaluatie worden bekrachtigd door de juridische werkgever</w:t>
      </w:r>
      <w:r w:rsidR="00063F07">
        <w:t>.</w:t>
      </w:r>
      <w:r w:rsidR="004077DE">
        <w:rPr>
          <w:rStyle w:val="Voetnootmarkering"/>
        </w:rPr>
        <w:footnoteReference w:id="7"/>
      </w:r>
    </w:p>
    <w:p w14:paraId="074613E0" w14:textId="77777777" w:rsidR="007C2517" w:rsidRDefault="007C2517" w:rsidP="00E51C77"/>
    <w:p w14:paraId="47CAF2A4" w14:textId="5847EBF8" w:rsidR="00FB5238" w:rsidRPr="00FB5238" w:rsidRDefault="00FB5238" w:rsidP="00E51C77">
      <w:pPr>
        <w:rPr>
          <w:rStyle w:val="Intensievebenadrukking"/>
        </w:rPr>
      </w:pPr>
      <w:r w:rsidRPr="00FB5238">
        <w:rPr>
          <w:rStyle w:val="Intensievebenadrukking"/>
        </w:rPr>
        <w:t xml:space="preserve">Artikel 3 – </w:t>
      </w:r>
      <w:r w:rsidR="00843951">
        <w:rPr>
          <w:rStyle w:val="Intensievebenadrukking"/>
        </w:rPr>
        <w:t>Ambtelijke d</w:t>
      </w:r>
      <w:r w:rsidRPr="00FB5238">
        <w:rPr>
          <w:rStyle w:val="Intensievebenadrukking"/>
        </w:rPr>
        <w:t xml:space="preserve">elegatie beslissings- en ondertekeningsbevoegdheid </w:t>
      </w:r>
    </w:p>
    <w:p w14:paraId="02A84547" w14:textId="401FE49A" w:rsidR="0064400F" w:rsidRDefault="007C2517" w:rsidP="0006782A">
      <w:pPr>
        <w:jc w:val="both"/>
        <w:rPr>
          <w:lang w:val="nl-NL"/>
        </w:rPr>
      </w:pPr>
      <w:r>
        <w:rPr>
          <w:lang w:val="nl-NL"/>
        </w:rPr>
        <w:lastRenderedPageBreak/>
        <w:t xml:space="preserve">§1. </w:t>
      </w:r>
      <w:r w:rsidR="0064400F">
        <w:rPr>
          <w:lang w:val="nl-NL"/>
        </w:rPr>
        <w:t>D</w:t>
      </w:r>
      <w:r w:rsidR="0064400F" w:rsidRPr="0064400F">
        <w:rPr>
          <w:lang w:val="nl-NL"/>
        </w:rPr>
        <w:t>e algemeen en financieel directeur – en hun eventuele adjuncten</w:t>
      </w:r>
      <w:r w:rsidR="00C30660">
        <w:rPr>
          <w:rStyle w:val="Voetnootmarkering"/>
          <w:lang w:val="nl-NL"/>
        </w:rPr>
        <w:footnoteReference w:id="8"/>
      </w:r>
      <w:r w:rsidR="0064400F" w:rsidRPr="0064400F">
        <w:rPr>
          <w:lang w:val="nl-NL"/>
        </w:rPr>
        <w:t xml:space="preserve"> – hebben krachtens de artikelen 162 §1, 175 en 587 derde lid DLB vanaf hun aanstelling de bevoegdheid om voor beide besturen (gemeente en OCMW, samen of afzonderlijk) op te treden.</w:t>
      </w:r>
    </w:p>
    <w:p w14:paraId="08FC422F" w14:textId="77777777" w:rsidR="00FF39CB" w:rsidRDefault="00FF39CB" w:rsidP="00B27B8A">
      <w:pPr>
        <w:jc w:val="both"/>
        <w:rPr>
          <w:lang w:val="nl-NL"/>
        </w:rPr>
      </w:pPr>
    </w:p>
    <w:p w14:paraId="6DBC5749" w14:textId="7CF00FFA" w:rsidR="00B27B8A" w:rsidRDefault="007C2517" w:rsidP="00B27B8A">
      <w:pPr>
        <w:jc w:val="both"/>
        <w:rPr>
          <w:lang w:val="nl-NL"/>
        </w:rPr>
      </w:pPr>
      <w:r>
        <w:rPr>
          <w:lang w:val="nl-NL"/>
        </w:rPr>
        <w:t xml:space="preserve">§2. </w:t>
      </w:r>
      <w:r w:rsidR="00B27B8A" w:rsidRPr="00B27B8A">
        <w:rPr>
          <w:lang w:val="nl-NL"/>
        </w:rPr>
        <w:t xml:space="preserve">Met deze beheersovereenkomst, genomen in toepassing van artikel 196 DLB, </w:t>
      </w:r>
      <w:r w:rsidR="00FF39CB">
        <w:rPr>
          <w:lang w:val="nl-NL"/>
        </w:rPr>
        <w:t xml:space="preserve">mogen </w:t>
      </w:r>
      <w:r w:rsidR="00B27B8A">
        <w:rPr>
          <w:lang w:val="nl-NL"/>
        </w:rPr>
        <w:t xml:space="preserve">de (adjunct-)algemeen en (adjunct-)financieel directeur </w:t>
      </w:r>
      <w:r w:rsidR="004C6F86" w:rsidRPr="00B27B8A">
        <w:rPr>
          <w:lang w:val="nl-NL"/>
        </w:rPr>
        <w:t xml:space="preserve">binnen de grenzen vastgelegd door </w:t>
      </w:r>
      <w:r w:rsidR="00FF39CB">
        <w:rPr>
          <w:lang w:val="nl-NL"/>
        </w:rPr>
        <w:t>dit Decreet h</w:t>
      </w:r>
      <w:r w:rsidR="00B27B8A" w:rsidRPr="00B27B8A">
        <w:rPr>
          <w:lang w:val="nl-NL"/>
        </w:rPr>
        <w:t>un beslissing</w:t>
      </w:r>
      <w:r w:rsidR="007212A1">
        <w:rPr>
          <w:lang w:val="nl-NL"/>
        </w:rPr>
        <w:t>s</w:t>
      </w:r>
      <w:r w:rsidR="00B27B8A" w:rsidRPr="00B27B8A">
        <w:rPr>
          <w:lang w:val="nl-NL"/>
        </w:rPr>
        <w:t xml:space="preserve">- en ondertekeningsbevoegdheid </w:t>
      </w:r>
      <w:r w:rsidR="00B27B8A">
        <w:rPr>
          <w:lang w:val="nl-NL"/>
        </w:rPr>
        <w:t xml:space="preserve">met betrekking tot een gemeentelijke bevoegdheid toevertrouwen aan </w:t>
      </w:r>
      <w:r w:rsidR="00FF39CB">
        <w:rPr>
          <w:lang w:val="nl-NL"/>
        </w:rPr>
        <w:t xml:space="preserve">één of meer </w:t>
      </w:r>
      <w:r w:rsidR="00B27B8A" w:rsidRPr="00B27B8A">
        <w:rPr>
          <w:lang w:val="nl-NL"/>
        </w:rPr>
        <w:t xml:space="preserve">medewerkers van </w:t>
      </w:r>
      <w:r w:rsidR="00B27B8A">
        <w:rPr>
          <w:lang w:val="nl-NL"/>
        </w:rPr>
        <w:t xml:space="preserve">het OCMW en </w:t>
      </w:r>
      <w:r w:rsidR="004C6F86">
        <w:rPr>
          <w:lang w:val="nl-NL"/>
        </w:rPr>
        <w:t xml:space="preserve">hun </w:t>
      </w:r>
      <w:r w:rsidR="004C6F86" w:rsidRPr="00B27B8A">
        <w:rPr>
          <w:lang w:val="nl-NL"/>
        </w:rPr>
        <w:t>beslissing</w:t>
      </w:r>
      <w:r w:rsidR="007212A1">
        <w:rPr>
          <w:lang w:val="nl-NL"/>
        </w:rPr>
        <w:t>s</w:t>
      </w:r>
      <w:r w:rsidR="004C6F86" w:rsidRPr="00B27B8A">
        <w:rPr>
          <w:lang w:val="nl-NL"/>
        </w:rPr>
        <w:t xml:space="preserve">- en ondertekeningsbevoegdheid </w:t>
      </w:r>
      <w:r w:rsidR="004C6F86">
        <w:rPr>
          <w:lang w:val="nl-NL"/>
        </w:rPr>
        <w:t xml:space="preserve">met betrekking tot een OCMW-bevoegdheid toevertrouwen aan </w:t>
      </w:r>
      <w:r w:rsidR="00FF39CB">
        <w:rPr>
          <w:lang w:val="nl-NL"/>
        </w:rPr>
        <w:t xml:space="preserve">één of meerdere </w:t>
      </w:r>
      <w:r w:rsidR="004C6F86" w:rsidRPr="00B27B8A">
        <w:rPr>
          <w:lang w:val="nl-NL"/>
        </w:rPr>
        <w:t xml:space="preserve">medewerkers van </w:t>
      </w:r>
      <w:r w:rsidR="004C6F86">
        <w:rPr>
          <w:lang w:val="nl-NL"/>
        </w:rPr>
        <w:t>de gemeente</w:t>
      </w:r>
      <w:r w:rsidR="00B27B8A" w:rsidRPr="00B27B8A">
        <w:rPr>
          <w:lang w:val="nl-NL"/>
        </w:rPr>
        <w:t xml:space="preserve">. </w:t>
      </w:r>
    </w:p>
    <w:p w14:paraId="0C157CAF" w14:textId="77777777" w:rsidR="000939F0" w:rsidRDefault="000939F0" w:rsidP="00B27B8A">
      <w:pPr>
        <w:jc w:val="both"/>
        <w:rPr>
          <w:lang w:val="nl-NL"/>
        </w:rPr>
      </w:pPr>
    </w:p>
    <w:p w14:paraId="2580FB86" w14:textId="23AFF674" w:rsidR="000939F0" w:rsidRPr="00457C74" w:rsidRDefault="000939F0" w:rsidP="000939F0">
      <w:pPr>
        <w:jc w:val="both"/>
        <w:rPr>
          <w:lang w:val="nl-NL"/>
        </w:rPr>
      </w:pPr>
      <w:r>
        <w:rPr>
          <w:lang w:val="nl-NL"/>
        </w:rPr>
        <w:t>§</w:t>
      </w:r>
      <w:r>
        <w:rPr>
          <w:lang w:val="nl-NL"/>
        </w:rPr>
        <w:t>3</w:t>
      </w:r>
      <w:r>
        <w:rPr>
          <w:lang w:val="nl-NL"/>
        </w:rPr>
        <w:t xml:space="preserve">. </w:t>
      </w:r>
      <w:r w:rsidRPr="00B27B8A">
        <w:rPr>
          <w:lang w:val="nl-NL"/>
        </w:rPr>
        <w:t xml:space="preserve">Met deze beheersovereenkomst, genomen in toepassing van artikel 196 DLB, </w:t>
      </w:r>
      <w:r>
        <w:rPr>
          <w:lang w:val="nl-NL"/>
        </w:rPr>
        <w:t>m</w:t>
      </w:r>
      <w:r w:rsidR="00120F5B">
        <w:rPr>
          <w:lang w:val="nl-NL"/>
        </w:rPr>
        <w:t xml:space="preserve">ag </w:t>
      </w:r>
      <w:r>
        <w:rPr>
          <w:lang w:val="nl-NL"/>
        </w:rPr>
        <w:t xml:space="preserve">de algemeen </w:t>
      </w:r>
      <w:r w:rsidR="00350601">
        <w:rPr>
          <w:lang w:val="nl-NL"/>
        </w:rPr>
        <w:t xml:space="preserve">directeur, </w:t>
      </w:r>
      <w:r w:rsidRPr="00B27B8A">
        <w:rPr>
          <w:lang w:val="nl-NL"/>
        </w:rPr>
        <w:t xml:space="preserve">binnen de grenzen vastgelegd door </w:t>
      </w:r>
      <w:r w:rsidR="00120F5B">
        <w:rPr>
          <w:lang w:val="nl-NL"/>
        </w:rPr>
        <w:t xml:space="preserve">artikel 283 van </w:t>
      </w:r>
      <w:r>
        <w:rPr>
          <w:lang w:val="nl-NL"/>
        </w:rPr>
        <w:t>dit Decreet</w:t>
      </w:r>
      <w:r w:rsidR="00350601">
        <w:rPr>
          <w:lang w:val="nl-NL"/>
        </w:rPr>
        <w:t xml:space="preserve">, </w:t>
      </w:r>
      <w:r w:rsidR="00120F5B">
        <w:rPr>
          <w:lang w:val="nl-NL"/>
        </w:rPr>
        <w:t xml:space="preserve">zijn bevoegdheid om </w:t>
      </w:r>
      <w:r w:rsidR="00351494">
        <w:rPr>
          <w:lang w:val="nl-NL"/>
        </w:rPr>
        <w:t>de vergaderingen van het Bijzonder Comité voor de Sociale Dienst</w:t>
      </w:r>
      <w:r w:rsidR="00143560">
        <w:rPr>
          <w:lang w:val="nl-NL"/>
        </w:rPr>
        <w:t xml:space="preserve"> bij te wonen</w:t>
      </w:r>
      <w:r w:rsidR="00351494">
        <w:rPr>
          <w:lang w:val="nl-NL"/>
        </w:rPr>
        <w:t xml:space="preserve">, en om de notulen op te maken en mee te ondertekenen, </w:t>
      </w:r>
      <w:r>
        <w:rPr>
          <w:lang w:val="nl-NL"/>
        </w:rPr>
        <w:t xml:space="preserve">toevertrouwen </w:t>
      </w:r>
      <w:r w:rsidR="00D23058">
        <w:rPr>
          <w:lang w:val="nl-NL"/>
        </w:rPr>
        <w:t xml:space="preserve">aan </w:t>
      </w:r>
      <w:r w:rsidR="00D23058" w:rsidRPr="006F0782">
        <w:t>de adjunct-algemeen directeur</w:t>
      </w:r>
      <w:r w:rsidR="00457C74">
        <w:t xml:space="preserve"> </w:t>
      </w:r>
      <w:r w:rsidR="00D23058" w:rsidRPr="00457C74">
        <w:t xml:space="preserve">of </w:t>
      </w:r>
      <w:r w:rsidR="00CF761F">
        <w:t>aan</w:t>
      </w:r>
      <w:r w:rsidR="00D23058" w:rsidRPr="00457C74">
        <w:t xml:space="preserve"> </w:t>
      </w:r>
      <w:r w:rsidR="0047457D">
        <w:t xml:space="preserve">(een) </w:t>
      </w:r>
      <w:r w:rsidR="00D23058" w:rsidRPr="00457C74">
        <w:t>andere functiehouder</w:t>
      </w:r>
      <w:r w:rsidR="0047457D">
        <w:t>(s)</w:t>
      </w:r>
      <w:r w:rsidR="00D23058" w:rsidRPr="00457C74">
        <w:t>, personeelslid van de gemeente of van het OCMW</w:t>
      </w:r>
      <w:r w:rsidR="00B730DA" w:rsidRPr="00B730DA">
        <w:rPr>
          <w:i/>
          <w:iCs/>
        </w:rPr>
        <w:t xml:space="preserve"> [schrappen wat niet past]</w:t>
      </w:r>
      <w:r w:rsidRPr="00457C74">
        <w:rPr>
          <w:lang w:val="nl-NL"/>
        </w:rPr>
        <w:t xml:space="preserve">. </w:t>
      </w:r>
    </w:p>
    <w:p w14:paraId="29CE862D" w14:textId="77777777" w:rsidR="00560608" w:rsidRDefault="00560608" w:rsidP="00B27B8A">
      <w:pPr>
        <w:jc w:val="both"/>
        <w:rPr>
          <w:i/>
          <w:lang w:val="nl-NL"/>
        </w:rPr>
      </w:pPr>
    </w:p>
    <w:p w14:paraId="2AAC40D1" w14:textId="6360FF2B" w:rsidR="00560608" w:rsidRPr="00560608" w:rsidRDefault="00560608" w:rsidP="00B27B8A">
      <w:pPr>
        <w:jc w:val="both"/>
        <w:rPr>
          <w:i/>
          <w:lang w:val="nl-NL"/>
        </w:rPr>
      </w:pPr>
      <w:r w:rsidRPr="00560608">
        <w:rPr>
          <w:i/>
          <w:lang w:val="nl-NL"/>
        </w:rPr>
        <w:t xml:space="preserve">[Zie model MDL d1843bis voor </w:t>
      </w:r>
      <w:r w:rsidR="005E2985">
        <w:rPr>
          <w:i/>
          <w:lang w:val="nl-NL"/>
        </w:rPr>
        <w:t>een concreet voorstel van besluit van de algemeen directeur tot delegatie van de beslissing</w:t>
      </w:r>
      <w:r w:rsidR="007212A1">
        <w:rPr>
          <w:i/>
          <w:lang w:val="nl-NL"/>
        </w:rPr>
        <w:t>s</w:t>
      </w:r>
      <w:r w:rsidR="005E2985">
        <w:rPr>
          <w:i/>
          <w:lang w:val="nl-NL"/>
        </w:rPr>
        <w:t>- en ondertekeningsbevoegdheid</w:t>
      </w:r>
      <w:r w:rsidR="00D75ED6">
        <w:rPr>
          <w:i/>
          <w:lang w:val="nl-NL"/>
        </w:rPr>
        <w:t>.</w:t>
      </w:r>
      <w:r w:rsidRPr="00560608">
        <w:rPr>
          <w:i/>
          <w:lang w:val="nl-NL"/>
        </w:rPr>
        <w:t>]</w:t>
      </w:r>
    </w:p>
    <w:p w14:paraId="214E51B4" w14:textId="079DF93F" w:rsidR="00D43150" w:rsidRDefault="00D43150" w:rsidP="0006782A">
      <w:pPr>
        <w:jc w:val="both"/>
      </w:pPr>
    </w:p>
    <w:p w14:paraId="526F8774" w14:textId="4C3827E2" w:rsidR="00FB5238" w:rsidRPr="00FB5238" w:rsidRDefault="00FB5238" w:rsidP="0006782A">
      <w:pPr>
        <w:jc w:val="both"/>
        <w:rPr>
          <w:rStyle w:val="Intensievebenadrukking"/>
        </w:rPr>
      </w:pPr>
      <w:r w:rsidRPr="00FB5238">
        <w:rPr>
          <w:rStyle w:val="Intensievebenadrukking"/>
        </w:rPr>
        <w:t>Artikel 4 – Gezamenlijke werving en selectie en aanleg we</w:t>
      </w:r>
      <w:r w:rsidR="000308C3">
        <w:rPr>
          <w:rStyle w:val="Intensievebenadrukking"/>
        </w:rPr>
        <w:t>r</w:t>
      </w:r>
      <w:r w:rsidRPr="00FB5238">
        <w:rPr>
          <w:rStyle w:val="Intensievebenadrukking"/>
        </w:rPr>
        <w:t>vings- en bevorderingsreserves</w:t>
      </w:r>
      <w:r w:rsidR="00C77D88">
        <w:rPr>
          <w:rStyle w:val="Voetnootmarkering"/>
          <w:b/>
          <w:bCs/>
          <w:i/>
          <w:iCs/>
          <w:color w:val="CC0077" w:themeColor="accent3"/>
        </w:rPr>
        <w:footnoteReference w:id="9"/>
      </w:r>
    </w:p>
    <w:p w14:paraId="3D53C406" w14:textId="6EC1C86C" w:rsidR="00FB5238" w:rsidRDefault="00A92079" w:rsidP="0006782A">
      <w:pPr>
        <w:jc w:val="both"/>
      </w:pPr>
      <w:r>
        <w:t>De aanstellende overhed</w:t>
      </w:r>
      <w:r w:rsidR="00B66CB4">
        <w:t>en</w:t>
      </w:r>
      <w:r>
        <w:t xml:space="preserve"> van de gemeente en van het OCMW kunnen gezamenlijke sollicitatieprocedure</w:t>
      </w:r>
      <w:r w:rsidR="00C77D88">
        <w:t>s</w:t>
      </w:r>
      <w:r>
        <w:t xml:space="preserve"> organiseren</w:t>
      </w:r>
      <w:r w:rsidR="00C77D88">
        <w:t xml:space="preserve">. </w:t>
      </w:r>
    </w:p>
    <w:p w14:paraId="1B32C9CD" w14:textId="77777777" w:rsidR="00D5091B" w:rsidRDefault="00D5091B" w:rsidP="0006782A">
      <w:pPr>
        <w:jc w:val="both"/>
      </w:pPr>
    </w:p>
    <w:p w14:paraId="0A3FB73F" w14:textId="38048C94" w:rsidR="00FB5238" w:rsidRDefault="00C77D88" w:rsidP="0006782A">
      <w:pPr>
        <w:jc w:val="both"/>
      </w:pPr>
      <w:r>
        <w:t xml:space="preserve">Daarbij kunnen de aanstellende overheden beslissen een gemeenschappelijke wervings- of bevorderingsreserve aan te leggen, volgens de bepalingen </w:t>
      </w:r>
      <w:r w:rsidR="00F8294A">
        <w:t xml:space="preserve">en binnen de grenzen van </w:t>
      </w:r>
      <w:r>
        <w:t>de gemeentelijke rechtspositieregeling.</w:t>
      </w:r>
      <w:r>
        <w:rPr>
          <w:rStyle w:val="Voetnootmarkering"/>
        </w:rPr>
        <w:footnoteReference w:id="10"/>
      </w:r>
    </w:p>
    <w:p w14:paraId="5BB0982B" w14:textId="77777777" w:rsidR="00FB5238" w:rsidRPr="00E51C77" w:rsidRDefault="00FB5238" w:rsidP="0006782A">
      <w:pPr>
        <w:jc w:val="both"/>
      </w:pPr>
    </w:p>
    <w:p w14:paraId="023DEAFA" w14:textId="2E4FD46D" w:rsidR="00FE0AB8" w:rsidRPr="00E51C77" w:rsidRDefault="00FE0AB8" w:rsidP="0006782A">
      <w:pPr>
        <w:jc w:val="both"/>
        <w:rPr>
          <w:rStyle w:val="Intensievebenadrukking"/>
        </w:rPr>
      </w:pPr>
      <w:r w:rsidRPr="00E51C77">
        <w:rPr>
          <w:rStyle w:val="Intensievebenadrukking"/>
        </w:rPr>
        <w:t xml:space="preserve">Artikel </w:t>
      </w:r>
      <w:r w:rsidR="00FB5238">
        <w:rPr>
          <w:rStyle w:val="Intensievebenadrukking"/>
        </w:rPr>
        <w:t>5</w:t>
      </w:r>
      <w:r w:rsidR="0001429E">
        <w:rPr>
          <w:rStyle w:val="Intensievebenadrukking"/>
        </w:rPr>
        <w:t xml:space="preserve"> – Duurtijd van de overeenkomst</w:t>
      </w:r>
    </w:p>
    <w:p w14:paraId="63C151FB" w14:textId="77777777" w:rsidR="00B630DC" w:rsidRDefault="00E51C77" w:rsidP="0006782A">
      <w:pPr>
        <w:jc w:val="both"/>
      </w:pPr>
      <w:r w:rsidRPr="00E51C77">
        <w:t xml:space="preserve">Deze overeenkomst </w:t>
      </w:r>
      <w:r w:rsidR="00FD21D9">
        <w:t xml:space="preserve">gaat in op … [xx.xx.xxxx]  en </w:t>
      </w:r>
      <w:r w:rsidRPr="00E51C77">
        <w:t xml:space="preserve">heeft een duurtijd van … , namelijk tot en met </w:t>
      </w:r>
      <w:r w:rsidR="00FD21D9">
        <w:t>…. [</w:t>
      </w:r>
      <w:r w:rsidRPr="00E51C77">
        <w:t>xx.xx.xxxx</w:t>
      </w:r>
      <w:r w:rsidR="00FD21D9">
        <w:t>]</w:t>
      </w:r>
      <w:r w:rsidRPr="00E51C77">
        <w:t>.</w:t>
      </w:r>
      <w:r w:rsidR="00B630DC">
        <w:t xml:space="preserve"> </w:t>
      </w:r>
    </w:p>
    <w:p w14:paraId="589BC907" w14:textId="29ECC500" w:rsidR="00B630DC" w:rsidRDefault="00B630DC" w:rsidP="0006782A">
      <w:pPr>
        <w:jc w:val="both"/>
      </w:pPr>
      <w:r>
        <w:t xml:space="preserve">OF </w:t>
      </w:r>
    </w:p>
    <w:p w14:paraId="0854804C" w14:textId="779A4B1F" w:rsidR="00E51C77" w:rsidRPr="00E51C77" w:rsidRDefault="00B630DC" w:rsidP="0006782A">
      <w:pPr>
        <w:jc w:val="both"/>
      </w:pPr>
      <w:r>
        <w:t xml:space="preserve">Deze overeenkomst gaat in op …. [xx.xx.xxxx] voor onbepaalde duur. Elk van beide partijen kan een einde maken aan deze overeenkomst mits </w:t>
      </w:r>
      <w:r w:rsidR="002A05A3">
        <w:t xml:space="preserve">hij </w:t>
      </w:r>
      <w:r>
        <w:t>een opzegtermijn van … maand</w:t>
      </w:r>
      <w:r w:rsidR="007212A1">
        <w:t>en</w:t>
      </w:r>
      <w:r w:rsidR="002A05A3">
        <w:t xml:space="preserve"> respecteert</w:t>
      </w:r>
      <w:r>
        <w:t>.</w:t>
      </w:r>
      <w:r w:rsidR="00E51C77" w:rsidRPr="00E51C77">
        <w:t xml:space="preserve"> </w:t>
      </w:r>
    </w:p>
    <w:p w14:paraId="4F5139BD" w14:textId="7A20D655" w:rsidR="00FE0AB8" w:rsidRDefault="00FE0AB8" w:rsidP="0006782A">
      <w:pPr>
        <w:jc w:val="both"/>
      </w:pPr>
    </w:p>
    <w:p w14:paraId="58CB7071" w14:textId="59AE550F" w:rsidR="00FE0AB8" w:rsidRPr="00E51C77" w:rsidRDefault="00FE0AB8" w:rsidP="0006782A">
      <w:pPr>
        <w:jc w:val="both"/>
        <w:rPr>
          <w:rStyle w:val="Intensievebenadrukking"/>
        </w:rPr>
      </w:pPr>
      <w:r w:rsidRPr="00E51C77">
        <w:rPr>
          <w:rStyle w:val="Intensievebenadrukking"/>
        </w:rPr>
        <w:t xml:space="preserve">Artikel </w:t>
      </w:r>
      <w:r w:rsidR="00A80FA7">
        <w:rPr>
          <w:rStyle w:val="Intensievebenadrukking"/>
        </w:rPr>
        <w:t>6 – Juridische werkgever</w:t>
      </w:r>
      <w:r w:rsidR="005618ED">
        <w:rPr>
          <w:rStyle w:val="Intensievebenadrukking"/>
        </w:rPr>
        <w:t xml:space="preserve"> en werkgeversgezag</w:t>
      </w:r>
    </w:p>
    <w:p w14:paraId="4F9C23E2" w14:textId="2BE5A3B0" w:rsidR="00E51C77" w:rsidRPr="00C84E61" w:rsidRDefault="00E51C77" w:rsidP="0006782A">
      <w:pPr>
        <w:jc w:val="both"/>
      </w:pPr>
      <w:r w:rsidRPr="00C84E61">
        <w:t xml:space="preserve">De </w:t>
      </w:r>
      <w:r w:rsidR="00C84E61" w:rsidRPr="00C84E61">
        <w:t>gemeente of het OCMW is</w:t>
      </w:r>
      <w:r w:rsidR="00C77D88">
        <w:t xml:space="preserve"> en blijft</w:t>
      </w:r>
      <w:r w:rsidR="00C84E61" w:rsidRPr="00C84E61">
        <w:t xml:space="preserve">, naargelang het geval, de </w:t>
      </w:r>
      <w:r w:rsidRPr="00C84E61">
        <w:t xml:space="preserve">juridische werkgever van de </w:t>
      </w:r>
      <w:r w:rsidR="007B28A6" w:rsidRPr="00C84E61">
        <w:t xml:space="preserve">onder de artikelen 1, 2 en 3 </w:t>
      </w:r>
      <w:r w:rsidR="00C84E61" w:rsidRPr="00C84E61">
        <w:t>betrokken p</w:t>
      </w:r>
      <w:r w:rsidRPr="00C84E61">
        <w:t>ers</w:t>
      </w:r>
      <w:smartTag w:uri="urn:schemas-microsoft-com:office:smarttags" w:element="PersonName">
        <w:r w:rsidRPr="00C84E61">
          <w:t>on</w:t>
        </w:r>
      </w:smartTag>
      <w:r w:rsidRPr="00C84E61">
        <w:t>eelsleden</w:t>
      </w:r>
      <w:r w:rsidR="00A80FA7" w:rsidRPr="00C84E61">
        <w:t xml:space="preserve"> </w:t>
      </w:r>
      <w:r w:rsidR="00C84E61" w:rsidRPr="00C84E61">
        <w:t xml:space="preserve">en </w:t>
      </w:r>
      <w:r w:rsidR="00A80FA7" w:rsidRPr="00C84E61">
        <w:t xml:space="preserve">oefent als enige het werkgeversgezag uit. Er is geen sprake van terbeschikkingstelling. </w:t>
      </w:r>
      <w:r w:rsidR="00C77D88">
        <w:t>Er worden geen personeelsleden overgedragen.</w:t>
      </w:r>
      <w:r w:rsidR="00C77D88">
        <w:rPr>
          <w:rStyle w:val="Voetnootmarkering"/>
        </w:rPr>
        <w:footnoteReference w:id="11"/>
      </w:r>
    </w:p>
    <w:p w14:paraId="30B72FF8" w14:textId="77777777" w:rsidR="00697EE6" w:rsidRDefault="00697EE6" w:rsidP="0006782A">
      <w:pPr>
        <w:jc w:val="both"/>
      </w:pPr>
    </w:p>
    <w:p w14:paraId="2D494C83" w14:textId="3384CD30" w:rsidR="00FE0AB8" w:rsidRDefault="00FE0AB8" w:rsidP="0006782A">
      <w:pPr>
        <w:jc w:val="both"/>
        <w:rPr>
          <w:rStyle w:val="Intensievebenadrukking"/>
        </w:rPr>
      </w:pPr>
      <w:bookmarkStart w:id="0" w:name="_Hlk1394070"/>
      <w:r w:rsidRPr="00E51C77">
        <w:rPr>
          <w:rStyle w:val="Intensievebenadrukking"/>
        </w:rPr>
        <w:t xml:space="preserve">Artikel </w:t>
      </w:r>
      <w:r w:rsidR="007B28A6">
        <w:rPr>
          <w:rStyle w:val="Intensievebenadrukking"/>
        </w:rPr>
        <w:t>7</w:t>
      </w:r>
      <w:r w:rsidR="0006782A">
        <w:rPr>
          <w:rStyle w:val="Intensievebenadrukking"/>
        </w:rPr>
        <w:t xml:space="preserve"> – Financiële verrekening </w:t>
      </w:r>
    </w:p>
    <w:bookmarkEnd w:id="0"/>
    <w:p w14:paraId="4050FB95" w14:textId="77777777" w:rsidR="00D5091B" w:rsidRDefault="00E51C77" w:rsidP="0006782A">
      <w:pPr>
        <w:jc w:val="both"/>
      </w:pPr>
      <w:r w:rsidRPr="00E51C77">
        <w:t>Voor de uitvoering van deze overeenkomst betaalt het OCMW geen vergoeding aan de gemeente</w:t>
      </w:r>
      <w:r w:rsidR="007B28A6">
        <w:t xml:space="preserve"> of vice versa</w:t>
      </w:r>
      <w:r w:rsidRPr="00E51C77">
        <w:t xml:space="preserve">. </w:t>
      </w:r>
    </w:p>
    <w:p w14:paraId="3C77742E" w14:textId="77777777" w:rsidR="00D5091B" w:rsidRDefault="00D5091B" w:rsidP="0006782A">
      <w:pPr>
        <w:jc w:val="both"/>
      </w:pPr>
    </w:p>
    <w:p w14:paraId="4BEB6904" w14:textId="77777777" w:rsidR="002A05A3" w:rsidRDefault="002A05A3" w:rsidP="004032E5">
      <w:pPr>
        <w:jc w:val="both"/>
      </w:pPr>
    </w:p>
    <w:p w14:paraId="2C9B301A" w14:textId="77777777" w:rsidR="002A05A3" w:rsidRDefault="002A05A3" w:rsidP="004032E5">
      <w:pPr>
        <w:jc w:val="both"/>
      </w:pPr>
    </w:p>
    <w:p w14:paraId="054AF7DD" w14:textId="212892F9" w:rsidR="005E2985" w:rsidRDefault="00E51C77" w:rsidP="004032E5">
      <w:pPr>
        <w:jc w:val="both"/>
      </w:pPr>
      <w:r w:rsidRPr="00E51C77">
        <w:t>Opgemaakt in twee originele exemplaren te …, waarvan elke partij erkent er één ontvangen te hebben</w:t>
      </w:r>
      <w:r w:rsidR="005E2985">
        <w:t xml:space="preserve">, </w:t>
      </w:r>
    </w:p>
    <w:p w14:paraId="1EE5D5FD" w14:textId="117641BB" w:rsidR="00E51C77" w:rsidRDefault="005E2985" w:rsidP="004032E5">
      <w:pPr>
        <w:jc w:val="both"/>
      </w:pPr>
      <w:r>
        <w:t>O</w:t>
      </w:r>
      <w:r w:rsidR="00E51C77" w:rsidRPr="00E51C77">
        <w:t>p …………………….</w:t>
      </w:r>
    </w:p>
    <w:p w14:paraId="0747EAEA" w14:textId="77777777" w:rsidR="005E2985" w:rsidRPr="00E51C77" w:rsidRDefault="005E2985" w:rsidP="004032E5">
      <w:pPr>
        <w:jc w:val="both"/>
      </w:pPr>
    </w:p>
    <w:tbl>
      <w:tblPr>
        <w:tblW w:w="8743" w:type="dxa"/>
        <w:tblInd w:w="-108" w:type="dxa"/>
        <w:tblLook w:val="01E0" w:firstRow="1" w:lastRow="1" w:firstColumn="1" w:lastColumn="1" w:noHBand="0" w:noVBand="0"/>
      </w:tblPr>
      <w:tblGrid>
        <w:gridCol w:w="110"/>
        <w:gridCol w:w="4287"/>
        <w:gridCol w:w="10"/>
        <w:gridCol w:w="4237"/>
        <w:gridCol w:w="99"/>
      </w:tblGrid>
      <w:tr w:rsidR="00697EE6" w:rsidRPr="00766542" w14:paraId="41606193" w14:textId="77777777" w:rsidTr="005E2985">
        <w:trPr>
          <w:trHeight w:val="166"/>
        </w:trPr>
        <w:tc>
          <w:tcPr>
            <w:tcW w:w="4397" w:type="dxa"/>
            <w:gridSpan w:val="2"/>
          </w:tcPr>
          <w:p w14:paraId="59D9C626" w14:textId="77777777" w:rsidR="00697EE6" w:rsidRPr="00766542" w:rsidRDefault="00697EE6" w:rsidP="00922EC5">
            <w:pPr>
              <w:rPr>
                <w:rFonts w:cs="Arial"/>
                <w:b/>
              </w:rPr>
            </w:pPr>
            <w:r w:rsidRPr="00766542">
              <w:rPr>
                <w:rFonts w:cs="Arial"/>
                <w:b/>
              </w:rPr>
              <w:t xml:space="preserve">Voor </w:t>
            </w:r>
            <w:r>
              <w:rPr>
                <w:rFonts w:cs="Arial"/>
                <w:b/>
              </w:rPr>
              <w:t>de gemeente</w:t>
            </w:r>
          </w:p>
        </w:tc>
        <w:tc>
          <w:tcPr>
            <w:tcW w:w="4346" w:type="dxa"/>
            <w:gridSpan w:val="3"/>
          </w:tcPr>
          <w:p w14:paraId="12938BA1" w14:textId="77777777" w:rsidR="00697EE6" w:rsidRPr="00766542" w:rsidRDefault="00697EE6" w:rsidP="00922EC5">
            <w:pPr>
              <w:rPr>
                <w:rFonts w:cs="Arial"/>
              </w:rPr>
            </w:pPr>
          </w:p>
        </w:tc>
      </w:tr>
      <w:tr w:rsidR="00697EE6" w:rsidRPr="00766542" w14:paraId="37BB3AFC" w14:textId="77777777" w:rsidTr="005E2985">
        <w:trPr>
          <w:trHeight w:val="841"/>
        </w:trPr>
        <w:tc>
          <w:tcPr>
            <w:tcW w:w="4397" w:type="dxa"/>
            <w:gridSpan w:val="2"/>
          </w:tcPr>
          <w:p w14:paraId="00A1B47E" w14:textId="25534CC4" w:rsidR="00697EE6" w:rsidRDefault="00697EE6" w:rsidP="00922EC5">
            <w:pPr>
              <w:rPr>
                <w:rFonts w:cs="Arial"/>
              </w:rPr>
            </w:pPr>
          </w:p>
          <w:p w14:paraId="07B4D246" w14:textId="77777777" w:rsidR="005E2985" w:rsidRPr="00766542" w:rsidRDefault="005E2985" w:rsidP="00922EC5">
            <w:pPr>
              <w:rPr>
                <w:rFonts w:cs="Arial"/>
              </w:rPr>
            </w:pPr>
          </w:p>
          <w:p w14:paraId="5695E9F6" w14:textId="77777777" w:rsidR="00697EE6" w:rsidRPr="00766542" w:rsidRDefault="00697EE6" w:rsidP="00922EC5">
            <w:pPr>
              <w:rPr>
                <w:rFonts w:cs="Arial"/>
              </w:rPr>
            </w:pPr>
          </w:p>
          <w:p w14:paraId="613D29E4" w14:textId="5F4EB3A0" w:rsidR="00697EE6" w:rsidRPr="00766542" w:rsidRDefault="00697EE6" w:rsidP="00922EC5">
            <w:pPr>
              <w:rPr>
                <w:rFonts w:cs="Arial"/>
              </w:rPr>
            </w:pPr>
            <w:r w:rsidRPr="00766542">
              <w:rPr>
                <w:rFonts w:cs="Arial"/>
              </w:rPr>
              <w:t>…………………………….</w:t>
            </w:r>
          </w:p>
        </w:tc>
        <w:tc>
          <w:tcPr>
            <w:tcW w:w="4346" w:type="dxa"/>
            <w:gridSpan w:val="3"/>
          </w:tcPr>
          <w:p w14:paraId="0FF735F3" w14:textId="652F6550" w:rsidR="00697EE6" w:rsidRDefault="00697EE6" w:rsidP="00922EC5">
            <w:pPr>
              <w:rPr>
                <w:rFonts w:cs="Arial"/>
              </w:rPr>
            </w:pPr>
          </w:p>
          <w:p w14:paraId="664E8906" w14:textId="77777777" w:rsidR="005E2985" w:rsidRPr="00766542" w:rsidRDefault="005E2985" w:rsidP="00922EC5">
            <w:pPr>
              <w:rPr>
                <w:rFonts w:cs="Arial"/>
              </w:rPr>
            </w:pPr>
          </w:p>
          <w:p w14:paraId="19DD535E" w14:textId="77777777" w:rsidR="00697EE6" w:rsidRPr="00766542" w:rsidRDefault="00697EE6" w:rsidP="00922EC5">
            <w:pPr>
              <w:rPr>
                <w:rFonts w:cs="Arial"/>
              </w:rPr>
            </w:pPr>
          </w:p>
          <w:p w14:paraId="143B0854" w14:textId="31514372" w:rsidR="00697EE6" w:rsidRPr="00766542" w:rsidRDefault="00697EE6" w:rsidP="00922EC5">
            <w:pPr>
              <w:rPr>
                <w:rFonts w:cs="Arial"/>
              </w:rPr>
            </w:pPr>
            <w:r w:rsidRPr="00766542">
              <w:rPr>
                <w:rFonts w:cs="Arial"/>
              </w:rPr>
              <w:t>…………………………….</w:t>
            </w:r>
          </w:p>
        </w:tc>
      </w:tr>
      <w:tr w:rsidR="00697EE6" w:rsidRPr="00766542" w14:paraId="0D11B805" w14:textId="77777777" w:rsidTr="005E2985">
        <w:trPr>
          <w:trHeight w:val="504"/>
        </w:trPr>
        <w:tc>
          <w:tcPr>
            <w:tcW w:w="4397" w:type="dxa"/>
            <w:gridSpan w:val="2"/>
          </w:tcPr>
          <w:p w14:paraId="24D29F6E" w14:textId="77777777" w:rsidR="00697EE6" w:rsidRDefault="00697EE6" w:rsidP="00922EC5">
            <w:pPr>
              <w:rPr>
                <w:rFonts w:cs="Arial"/>
              </w:rPr>
            </w:pPr>
            <w:r>
              <w:rPr>
                <w:rFonts w:cs="Arial"/>
              </w:rPr>
              <w:t>[naam]</w:t>
            </w:r>
          </w:p>
          <w:p w14:paraId="3F3AF62F" w14:textId="1B35162A" w:rsidR="00697EE6" w:rsidRPr="00766542" w:rsidRDefault="00697EE6" w:rsidP="00922EC5">
            <w:pPr>
              <w:rPr>
                <w:rFonts w:cs="Arial"/>
              </w:rPr>
            </w:pPr>
            <w:r>
              <w:rPr>
                <w:rFonts w:cs="Arial"/>
              </w:rPr>
              <w:t xml:space="preserve">De </w:t>
            </w:r>
            <w:r w:rsidR="00A330F4">
              <w:rPr>
                <w:rFonts w:cs="Arial"/>
              </w:rPr>
              <w:t>voorzitter van de gemeenteraad</w:t>
            </w:r>
            <w:r>
              <w:rPr>
                <w:rFonts w:cs="Arial"/>
              </w:rPr>
              <w:t xml:space="preserve"> </w:t>
            </w:r>
          </w:p>
          <w:p w14:paraId="54033DE4" w14:textId="7BCD3CE7" w:rsidR="00697EE6" w:rsidRPr="00766542" w:rsidRDefault="00697EE6" w:rsidP="00922EC5">
            <w:pPr>
              <w:rPr>
                <w:rFonts w:cs="Arial"/>
              </w:rPr>
            </w:pPr>
          </w:p>
        </w:tc>
        <w:tc>
          <w:tcPr>
            <w:tcW w:w="4346" w:type="dxa"/>
            <w:gridSpan w:val="3"/>
          </w:tcPr>
          <w:p w14:paraId="1B6A4559" w14:textId="77777777" w:rsidR="00697EE6" w:rsidRDefault="00697EE6" w:rsidP="00922EC5">
            <w:pPr>
              <w:rPr>
                <w:rFonts w:cs="Arial"/>
              </w:rPr>
            </w:pPr>
            <w:r>
              <w:rPr>
                <w:rFonts w:cs="Arial"/>
              </w:rPr>
              <w:t>[naam]</w:t>
            </w:r>
          </w:p>
          <w:p w14:paraId="56F321ED" w14:textId="77777777" w:rsidR="00697EE6" w:rsidRPr="00766542" w:rsidRDefault="00697EE6" w:rsidP="00922EC5">
            <w:pPr>
              <w:rPr>
                <w:rFonts w:cs="Arial"/>
              </w:rPr>
            </w:pPr>
            <w:r>
              <w:rPr>
                <w:rFonts w:cs="Arial"/>
              </w:rPr>
              <w:t>De algemeen directeur</w:t>
            </w:r>
          </w:p>
          <w:p w14:paraId="48695C96" w14:textId="77777777" w:rsidR="00697EE6" w:rsidRPr="00766542" w:rsidRDefault="00697EE6" w:rsidP="00922EC5">
            <w:pPr>
              <w:rPr>
                <w:rFonts w:cs="Arial"/>
              </w:rPr>
            </w:pPr>
          </w:p>
        </w:tc>
      </w:tr>
      <w:tr w:rsidR="00E51C77" w:rsidRPr="00E51C77" w14:paraId="48ECC669" w14:textId="77777777" w:rsidTr="002D6AE4">
        <w:trPr>
          <w:gridBefore w:val="1"/>
          <w:gridAfter w:val="1"/>
          <w:wBefore w:w="110" w:type="dxa"/>
          <w:wAfter w:w="99" w:type="dxa"/>
          <w:trHeight w:val="166"/>
        </w:trPr>
        <w:tc>
          <w:tcPr>
            <w:tcW w:w="4297" w:type="dxa"/>
            <w:gridSpan w:val="2"/>
          </w:tcPr>
          <w:p w14:paraId="5B3CF0BD" w14:textId="77777777" w:rsidR="00E51C77" w:rsidRPr="00E51C77" w:rsidRDefault="00E51C77" w:rsidP="00E51C77">
            <w:pPr>
              <w:rPr>
                <w:b/>
              </w:rPr>
            </w:pPr>
            <w:r w:rsidRPr="00E51C77">
              <w:rPr>
                <w:b/>
              </w:rPr>
              <w:t>Voor het OCMW</w:t>
            </w:r>
          </w:p>
        </w:tc>
        <w:tc>
          <w:tcPr>
            <w:tcW w:w="4237" w:type="dxa"/>
          </w:tcPr>
          <w:p w14:paraId="4BEC7261" w14:textId="77777777" w:rsidR="00E51C77" w:rsidRPr="00E51C77" w:rsidRDefault="00E51C77" w:rsidP="00E51C77"/>
        </w:tc>
      </w:tr>
      <w:tr w:rsidR="00E51C77" w:rsidRPr="00E51C77" w14:paraId="620BDAED" w14:textId="77777777" w:rsidTr="002D6AE4">
        <w:trPr>
          <w:gridBefore w:val="1"/>
          <w:gridAfter w:val="1"/>
          <w:wBefore w:w="110" w:type="dxa"/>
          <w:wAfter w:w="99" w:type="dxa"/>
          <w:trHeight w:val="832"/>
        </w:trPr>
        <w:tc>
          <w:tcPr>
            <w:tcW w:w="4297" w:type="dxa"/>
            <w:gridSpan w:val="2"/>
          </w:tcPr>
          <w:p w14:paraId="3E847573" w14:textId="307CAC24" w:rsidR="00E51C77" w:rsidRDefault="00E51C77" w:rsidP="00E51C77"/>
          <w:p w14:paraId="39E4A87C" w14:textId="77777777" w:rsidR="00CD07CB" w:rsidRPr="00E51C77" w:rsidRDefault="00CD07CB" w:rsidP="00E51C77"/>
          <w:p w14:paraId="14F8FAF3" w14:textId="77777777" w:rsidR="00E51C77" w:rsidRPr="00E51C77" w:rsidRDefault="00E51C77" w:rsidP="00E51C77"/>
          <w:p w14:paraId="133E1DB9" w14:textId="50C29D1D" w:rsidR="00E51C77" w:rsidRPr="00E51C77" w:rsidRDefault="00E51C77" w:rsidP="00E51C77">
            <w:r w:rsidRPr="00E51C77">
              <w:t>………………………….</w:t>
            </w:r>
          </w:p>
        </w:tc>
        <w:tc>
          <w:tcPr>
            <w:tcW w:w="4237" w:type="dxa"/>
          </w:tcPr>
          <w:p w14:paraId="5106EB58" w14:textId="77777777" w:rsidR="00E51C77" w:rsidRPr="00E51C77" w:rsidRDefault="00E51C77" w:rsidP="00E51C77"/>
          <w:p w14:paraId="117F5E19" w14:textId="77777777" w:rsidR="00E51C77" w:rsidRPr="00E51C77" w:rsidRDefault="00E51C77" w:rsidP="00E51C77"/>
          <w:p w14:paraId="5E49915D" w14:textId="77777777" w:rsidR="00E51C77" w:rsidRPr="00E51C77" w:rsidRDefault="00E51C77" w:rsidP="00E51C77"/>
          <w:p w14:paraId="768832A5" w14:textId="5C92DA4B" w:rsidR="00E51C77" w:rsidRPr="00E51C77" w:rsidRDefault="00E51C77" w:rsidP="00E51C77">
            <w:r w:rsidRPr="00E51C77">
              <w:t>……………………….</w:t>
            </w:r>
          </w:p>
        </w:tc>
      </w:tr>
      <w:tr w:rsidR="00E51C77" w:rsidRPr="00E51C77" w14:paraId="677A058C" w14:textId="77777777" w:rsidTr="002D6AE4">
        <w:trPr>
          <w:gridBefore w:val="1"/>
          <w:gridAfter w:val="1"/>
          <w:wBefore w:w="110" w:type="dxa"/>
          <w:wAfter w:w="99" w:type="dxa"/>
          <w:trHeight w:val="335"/>
        </w:trPr>
        <w:tc>
          <w:tcPr>
            <w:tcW w:w="4297" w:type="dxa"/>
            <w:gridSpan w:val="2"/>
          </w:tcPr>
          <w:p w14:paraId="7BDAA104" w14:textId="77777777" w:rsidR="00E51C77" w:rsidRPr="00E51C77" w:rsidRDefault="00E51C77" w:rsidP="00E51C77">
            <w:r w:rsidRPr="00E51C77">
              <w:lastRenderedPageBreak/>
              <w:t>[naam]</w:t>
            </w:r>
          </w:p>
          <w:p w14:paraId="0D601E60" w14:textId="0514489D" w:rsidR="00E51C77" w:rsidRPr="00E51C77" w:rsidRDefault="00E51C77" w:rsidP="00E51C77">
            <w:r w:rsidRPr="00E51C77">
              <w:t xml:space="preserve">De </w:t>
            </w:r>
            <w:r w:rsidR="00A330F4">
              <w:t>voorzitter van de OCMW-raad</w:t>
            </w:r>
          </w:p>
        </w:tc>
        <w:tc>
          <w:tcPr>
            <w:tcW w:w="4237" w:type="dxa"/>
          </w:tcPr>
          <w:p w14:paraId="04360B25" w14:textId="77777777" w:rsidR="005E2985" w:rsidRDefault="00E51C77" w:rsidP="00E51C77">
            <w:r w:rsidRPr="00E51C77">
              <w:t>[naam]</w:t>
            </w:r>
            <w:r w:rsidR="005E2985">
              <w:t xml:space="preserve"> </w:t>
            </w:r>
          </w:p>
          <w:p w14:paraId="54B2B942" w14:textId="24EC3AC2" w:rsidR="00E51C77" w:rsidRPr="00E51C77" w:rsidRDefault="00E51C77" w:rsidP="00E51C77">
            <w:r w:rsidRPr="00E51C77">
              <w:t xml:space="preserve">De </w:t>
            </w:r>
            <w:r w:rsidR="00697EE6">
              <w:t>algemeen directeur</w:t>
            </w:r>
          </w:p>
        </w:tc>
      </w:tr>
    </w:tbl>
    <w:p w14:paraId="012746CF" w14:textId="22AD4534" w:rsidR="00E51C77" w:rsidRPr="005B5C7D" w:rsidRDefault="00E51C77" w:rsidP="002A3DEF">
      <w:pPr>
        <w:spacing w:line="300" w:lineRule="exact"/>
        <w:contextualSpacing w:val="0"/>
        <w:rPr>
          <w:rStyle w:val="Intensievebenadrukking"/>
          <w:b w:val="0"/>
          <w:bCs w:val="0"/>
          <w:i w:val="0"/>
          <w:iCs w:val="0"/>
          <w:color w:val="585849" w:themeColor="text1" w:themeShade="80"/>
        </w:rPr>
      </w:pPr>
    </w:p>
    <w:sectPr w:rsidR="00E51C77" w:rsidRPr="005B5C7D" w:rsidSect="00FB6255">
      <w:headerReference w:type="default" r:id="rId11"/>
      <w:footerReference w:type="even" r:id="rId12"/>
      <w:footerReference w:type="default" r:id="rId13"/>
      <w:headerReference w:type="first" r:id="rId14"/>
      <w:footerReference w:type="first" r:id="rId15"/>
      <w:pgSz w:w="11906" w:h="16838"/>
      <w:pgMar w:top="2694" w:right="1985" w:bottom="1418" w:left="1531" w:header="850"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F781" w14:textId="77777777" w:rsidR="00BE2748" w:rsidRDefault="00BE2748" w:rsidP="003D1334">
      <w:r>
        <w:separator/>
      </w:r>
    </w:p>
  </w:endnote>
  <w:endnote w:type="continuationSeparator" w:id="0">
    <w:p w14:paraId="28030978" w14:textId="77777777" w:rsidR="00BE2748" w:rsidRDefault="00BE2748" w:rsidP="003D1334">
      <w:r>
        <w:continuationSeparator/>
      </w:r>
    </w:p>
  </w:endnote>
  <w:endnote w:type="continuationNotice" w:id="1">
    <w:p w14:paraId="65274653" w14:textId="77777777" w:rsidR="00BE2748" w:rsidRDefault="00BE27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E39C" w14:textId="77777777" w:rsidR="00922EC5" w:rsidRDefault="00922EC5" w:rsidP="00821EAE">
    <w:r>
      <w:rPr>
        <w:noProof/>
      </w:rPr>
      <w:fldChar w:fldCharType="begin"/>
    </w:r>
    <w:r>
      <w:rPr>
        <w:noProof/>
      </w:rPr>
      <w:instrText xml:space="preserve"> PAGE \* Arabic \* MERGEFORMAT </w:instrText>
    </w:r>
    <w:r>
      <w:rPr>
        <w:noProof/>
      </w:rPr>
      <w:fldChar w:fldCharType="separate"/>
    </w:r>
    <w:r>
      <w:rPr>
        <w:noProof/>
      </w:rPr>
      <w:t>2</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8D83" w14:textId="77777777" w:rsidR="00922EC5" w:rsidRDefault="00922EC5" w:rsidP="00821EAE">
    <w:r>
      <w:rPr>
        <w:noProof/>
      </w:rPr>
      <w:fldChar w:fldCharType="begin"/>
    </w:r>
    <w:r>
      <w:rPr>
        <w:noProof/>
      </w:rPr>
      <w:instrText xml:space="preserve"> PAGE \* Arabic \* MERGEFORMAT </w:instrText>
    </w:r>
    <w:r>
      <w:rPr>
        <w:noProof/>
      </w:rPr>
      <w:fldChar w:fldCharType="separate"/>
    </w:r>
    <w:r>
      <w:rPr>
        <w:noProof/>
      </w:rPr>
      <w:t>3</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B4EC" w14:textId="77777777" w:rsidR="00922EC5" w:rsidRDefault="00922EC5" w:rsidP="00FB6255">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5EF8" w14:textId="77777777" w:rsidR="00BE2748" w:rsidRDefault="00BE2748" w:rsidP="003D1334">
      <w:r>
        <w:separator/>
      </w:r>
    </w:p>
  </w:footnote>
  <w:footnote w:type="continuationSeparator" w:id="0">
    <w:p w14:paraId="291604DB" w14:textId="77777777" w:rsidR="00BE2748" w:rsidRDefault="00BE2748" w:rsidP="003D1334">
      <w:r>
        <w:continuationSeparator/>
      </w:r>
    </w:p>
  </w:footnote>
  <w:footnote w:type="continuationNotice" w:id="1">
    <w:p w14:paraId="3DB7A73E" w14:textId="77777777" w:rsidR="00BE2748" w:rsidRDefault="00BE2748">
      <w:pPr>
        <w:spacing w:line="240" w:lineRule="auto"/>
      </w:pPr>
    </w:p>
  </w:footnote>
  <w:footnote w:id="2">
    <w:p w14:paraId="65F2A49D" w14:textId="21BB975E" w:rsidR="00922EC5" w:rsidRDefault="00922EC5" w:rsidP="00FE0AB8">
      <w:pPr>
        <w:pStyle w:val="Voetnoottekst"/>
      </w:pPr>
      <w:r>
        <w:rPr>
          <w:rStyle w:val="Voetnootmarkering"/>
        </w:rPr>
        <w:footnoteRef/>
      </w:r>
      <w:r>
        <w:t xml:space="preserve"> Zie artikel 196 §2 Decreet Lokaal Bestuur (DLB). De beheersovereenkomst is niet verplicht.</w:t>
      </w:r>
    </w:p>
  </w:footnote>
  <w:footnote w:id="3">
    <w:p w14:paraId="11A1EFC3" w14:textId="48005F64" w:rsidR="00922EC5" w:rsidRDefault="00922EC5">
      <w:pPr>
        <w:pStyle w:val="Voetnoottekst"/>
      </w:pPr>
      <w:r>
        <w:rPr>
          <w:rStyle w:val="Voetnootmarkering"/>
        </w:rPr>
        <w:footnoteRef/>
      </w:r>
      <w:r>
        <w:t xml:space="preserve"> Dit model is ook bruikbaar voor de zes randgemeenten</w:t>
      </w:r>
      <w:r w:rsidR="002A05A3">
        <w:t xml:space="preserve"> rond Brussel</w:t>
      </w:r>
      <w:r>
        <w:t xml:space="preserve"> en </w:t>
      </w:r>
      <w:r w:rsidR="002A05A3">
        <w:t xml:space="preserve">voor </w:t>
      </w:r>
      <w:r>
        <w:t>Voeren.</w:t>
      </w:r>
    </w:p>
  </w:footnote>
  <w:footnote w:id="4">
    <w:p w14:paraId="2CC7AF59" w14:textId="5C6A99CB" w:rsidR="0047247B" w:rsidRDefault="0047247B">
      <w:pPr>
        <w:pStyle w:val="Voetnoottekst"/>
      </w:pPr>
      <w:r>
        <w:rPr>
          <w:rStyle w:val="Voetnootmarkering"/>
        </w:rPr>
        <w:footnoteRef/>
      </w:r>
      <w:r>
        <w:t xml:space="preserve"> Dit model geldt niet ten aanzien van het gesubsidieerd personeel van het gemeentelijk onderwijs, dus waarop het Decreet Rechtspositie Gesubsidieerd Personeel van 27.03.1991 van toepassing is.</w:t>
      </w:r>
    </w:p>
  </w:footnote>
  <w:footnote w:id="5">
    <w:p w14:paraId="2BA20419" w14:textId="34AAAE11" w:rsidR="00922EC5" w:rsidRDefault="00922EC5" w:rsidP="000A7497">
      <w:pPr>
        <w:pStyle w:val="Voetnoottekst"/>
      </w:pPr>
      <w:r>
        <w:rPr>
          <w:rStyle w:val="Voetnootmarkering"/>
        </w:rPr>
        <w:footnoteRef/>
      </w:r>
      <w:r>
        <w:t xml:space="preserve"> Het is niet duidelijk hoe concreet de opsomming van diensten moet zijn, dan wel of het kan volstaan om in het algemeen te zeggen dat gemeente en OCMW op elkaars diensten een beroep kunnen doen. Gelet op de formulering in het DLB, menen we dat een algemene formulering kan volstaan</w:t>
      </w:r>
      <w:r w:rsidR="00D75ED6">
        <w:t>.</w:t>
      </w:r>
    </w:p>
  </w:footnote>
  <w:footnote w:id="6">
    <w:p w14:paraId="210EDDE6" w14:textId="0AAC9145" w:rsidR="00922EC5" w:rsidRDefault="00922EC5">
      <w:pPr>
        <w:pStyle w:val="Voetnoottekst"/>
      </w:pPr>
      <w:r w:rsidRPr="007C2517">
        <w:rPr>
          <w:rStyle w:val="Voetnootmarkering"/>
        </w:rPr>
        <w:footnoteRef/>
      </w:r>
      <w:r w:rsidRPr="007C2517">
        <w:t xml:space="preserve"> Dit is geen terbeschikkingstelling aangezien het leidinggevend personeelslid zelf onder het gezag staat van de algemeen </w:t>
      </w:r>
      <w:r w:rsidRPr="00F75B46">
        <w:t>directeur</w:t>
      </w:r>
      <w:r w:rsidR="00F75B46">
        <w:t xml:space="preserve">, </w:t>
      </w:r>
      <w:r w:rsidRPr="00F75B46">
        <w:t>de hoogste</w:t>
      </w:r>
      <w:r w:rsidRPr="007C2517">
        <w:t xml:space="preserve"> leidinggevende voor OCMW en gemeente samen.</w:t>
      </w:r>
    </w:p>
  </w:footnote>
  <w:footnote w:id="7">
    <w:p w14:paraId="3990DDAD" w14:textId="1CD2F07F" w:rsidR="00922EC5" w:rsidRPr="00D75ED6" w:rsidRDefault="00922EC5" w:rsidP="00D75ED6">
      <w:pPr>
        <w:spacing w:line="244" w:lineRule="atLeast"/>
        <w:jc w:val="both"/>
        <w:rPr>
          <w:rFonts w:cs="Arial"/>
        </w:rPr>
      </w:pPr>
      <w:r>
        <w:rPr>
          <w:rStyle w:val="Voetnootmarkering"/>
        </w:rPr>
        <w:footnoteRef/>
      </w:r>
      <w:r>
        <w:t xml:space="preserve"> </w:t>
      </w:r>
      <w:r w:rsidRPr="007B28A6">
        <w:rPr>
          <w:rFonts w:cs="Arial"/>
        </w:rPr>
        <w:t>Het uitgangspunt bij evaluaties – die juridische gevolgen voor het personeelslid kunnen hebben – is dat enkel de juridische werkgever bevoegd is om beslissingen te nemen met een impact op de rechtspositie van het personeel (statutair/contractant)</w:t>
      </w:r>
      <w:r>
        <w:rPr>
          <w:rFonts w:cs="Arial"/>
        </w:rPr>
        <w:t>. De feitelijke leidinggevende is echter wel het best geplaatst om uitspraken te doen over het functioneren van de betrokken medewerkers.</w:t>
      </w:r>
    </w:p>
  </w:footnote>
  <w:footnote w:id="8">
    <w:p w14:paraId="2291AD08" w14:textId="2F3E62F4" w:rsidR="00C30660" w:rsidRDefault="00C30660">
      <w:pPr>
        <w:pStyle w:val="Voetnoottekst"/>
      </w:pPr>
      <w:r>
        <w:rPr>
          <w:rStyle w:val="Voetnootmarkering"/>
        </w:rPr>
        <w:footnoteRef/>
      </w:r>
      <w:r>
        <w:t xml:space="preserve"> Eigenaardig genoeg kan de adjunct-algemeen directeur enkel mits beheersovereenkomst de bevoegdheid krijgen om de </w:t>
      </w:r>
      <w:r w:rsidRPr="00C30660">
        <w:t>vergaderingen van het bijzonder comité voor de sociale dienst</w:t>
      </w:r>
      <w:r>
        <w:t xml:space="preserve"> bij te wonen en om de notulen </w:t>
      </w:r>
      <w:r w:rsidRPr="00C30660">
        <w:t>op</w:t>
      </w:r>
      <w:r>
        <w:t xml:space="preserve"> te </w:t>
      </w:r>
      <w:r w:rsidRPr="00C30660">
        <w:t xml:space="preserve">stellen en </w:t>
      </w:r>
      <w:r>
        <w:t>mee te ondertekenen (zie art. 277 §3 DLB).</w:t>
      </w:r>
      <w:r w:rsidR="00665625">
        <w:t xml:space="preserve"> Ook het ondertekenen van de stukken van het OCMW door de adjunct-algemeen directeur is enkel mogelijk mits beheersovereenkomst (artikel 283, derde lid DLB). </w:t>
      </w:r>
    </w:p>
  </w:footnote>
  <w:footnote w:id="9">
    <w:p w14:paraId="4D69CCB3" w14:textId="77777777" w:rsidR="00D75ED6" w:rsidRDefault="00922EC5">
      <w:pPr>
        <w:pStyle w:val="Voetnoottekst"/>
      </w:pPr>
      <w:r>
        <w:rPr>
          <w:rStyle w:val="Voetnootmarkering"/>
        </w:rPr>
        <w:footnoteRef/>
      </w:r>
      <w:r>
        <w:t xml:space="preserve"> Het is niet verplicht om een samenwerkings- of beheersovereenkomst af te sluiten tussen gemeente en OCMW om samen personeel te werven en te selecteren (art. 196 §1 DLB en de art. 16 tot en met 20 Besluit Vlaamse Regering van 20 mei 2011 </w:t>
      </w:r>
      <w:r w:rsidRPr="007D314E">
        <w:t>houdende regeling van de externe personeelsmobiliteit tussen sommige lokale en provinciale overheden onderling en tussen sommige lokale en provinciale overheden en de diensten van de Vlaamse overheid onderling, en houdende enkele maatregelen ter ondersteuning van de externe personeelsmobiliteit tussen overheden met hetzelfde werkingsgebied</w:t>
      </w:r>
      <w:r>
        <w:t xml:space="preserve">, </w:t>
      </w:r>
      <w:r w:rsidRPr="007D314E">
        <w:rPr>
          <w:i/>
        </w:rPr>
        <w:t>BS</w:t>
      </w:r>
      <w:r>
        <w:t xml:space="preserve"> 14 juli 2011). </w:t>
      </w:r>
    </w:p>
    <w:p w14:paraId="5E138E5D" w14:textId="61D1EC79" w:rsidR="00922EC5" w:rsidRDefault="00922EC5">
      <w:pPr>
        <w:pStyle w:val="Voetnoottekst"/>
      </w:pPr>
      <w:r>
        <w:t>Maar we vermelden het hier als mogelijk en bijkomend onderdeel van een geïntegreerd personeelsbeleid voor gemeente en OCMW.</w:t>
      </w:r>
    </w:p>
  </w:footnote>
  <w:footnote w:id="10">
    <w:p w14:paraId="108D053C" w14:textId="0DA3D93F" w:rsidR="00922EC5" w:rsidRDefault="00922EC5">
      <w:pPr>
        <w:pStyle w:val="Voetnoottekst"/>
      </w:pPr>
      <w:r>
        <w:rPr>
          <w:rStyle w:val="Voetnootmarkering"/>
        </w:rPr>
        <w:footnoteRef/>
      </w:r>
      <w:r>
        <w:t xml:space="preserve"> Art. 19 §1</w:t>
      </w:r>
      <w:r w:rsidRPr="00F8294A">
        <w:t xml:space="preserve"> </w:t>
      </w:r>
      <w:r>
        <w:t>B</w:t>
      </w:r>
      <w:r w:rsidR="00D75ED6">
        <w:t xml:space="preserve">esluit van de Vlaamse Regering van </w:t>
      </w:r>
      <w:r>
        <w:t>20 mei 2011.</w:t>
      </w:r>
    </w:p>
  </w:footnote>
  <w:footnote w:id="11">
    <w:p w14:paraId="54B45043" w14:textId="2C9EB52F" w:rsidR="00922EC5" w:rsidRDefault="00922EC5">
      <w:pPr>
        <w:pStyle w:val="Voetnoottekst"/>
      </w:pPr>
      <w:r>
        <w:rPr>
          <w:rStyle w:val="Voetnootmarkering"/>
        </w:rPr>
        <w:footnoteRef/>
      </w:r>
      <w:r>
        <w:t xml:space="preserve"> Terbeschikkingstelling en overdracht van personeel blijven uiteraard, binnen wettelijke grenzen, mogelijk, al zijn er soms wel belangrijke aandachtspunten, zoals de impact op de sociale maribel of de financiering van de ambtenarenpensioenen. Zie, voor meer info, de VVSG-nota “S</w:t>
      </w:r>
      <w:r w:rsidRPr="00C77D88">
        <w:t>amen</w:t>
      </w:r>
      <w:r>
        <w:t xml:space="preserve"> </w:t>
      </w:r>
      <w:r w:rsidRPr="00C77D88">
        <w:t>personeel</w:t>
      </w:r>
      <w:r>
        <w:t xml:space="preserve"> </w:t>
      </w:r>
      <w:r w:rsidRPr="00C77D88">
        <w:t>aanwerven</w:t>
      </w:r>
      <w:r>
        <w:t xml:space="preserve"> </w:t>
      </w:r>
      <w:r w:rsidRPr="00C77D88">
        <w:t>o</w:t>
      </w:r>
      <w:r>
        <w:t xml:space="preserve">f </w:t>
      </w:r>
      <w:r w:rsidRPr="00C77D88">
        <w:t>inzetten</w:t>
      </w:r>
      <w:r>
        <w:t xml:space="preserve"> </w:t>
      </w:r>
      <w:r w:rsidRPr="00C77D88">
        <w:t>bi</w:t>
      </w:r>
      <w:r>
        <w:t xml:space="preserve">j </w:t>
      </w:r>
      <w:r w:rsidRPr="00C77D88">
        <w:t>lokale</w:t>
      </w:r>
      <w:r>
        <w:t xml:space="preserve"> </w:t>
      </w:r>
      <w:r w:rsidRPr="00C77D88">
        <w:t>besture</w:t>
      </w:r>
      <w:r>
        <w:t xml:space="preserve">n”, te vinden op </w:t>
      </w:r>
      <w:hyperlink r:id="rId1" w:history="1">
        <w:r w:rsidRPr="00EC307D">
          <w:rPr>
            <w:rStyle w:val="Hyperlink"/>
          </w:rPr>
          <w:t>www.vvsg.be</w:t>
        </w:r>
      </w:hyperlink>
      <w:r>
        <w:t xml:space="preserve"> &gt; werking en organisatie &gt; personeel &gt; personeel bij verzelfstandiging en samenwerking.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156B" w14:textId="77777777" w:rsidR="00922EC5" w:rsidRDefault="00922EC5" w:rsidP="003D1334">
    <w:pPr>
      <w:pStyle w:val="Koptekst"/>
    </w:pPr>
    <w:r>
      <w:rPr>
        <w:noProof/>
        <w:sz w:val="14"/>
        <w:szCs w:val="14"/>
        <w:lang w:eastAsia="nl-BE"/>
      </w:rPr>
      <w:drawing>
        <wp:anchor distT="0" distB="0" distL="114300" distR="114300" simplePos="0" relativeHeight="251658241" behindDoc="0" locked="0" layoutInCell="1" allowOverlap="1" wp14:anchorId="4B8BBE2B" wp14:editId="4B8BBE2C">
          <wp:simplePos x="0" y="0"/>
          <wp:positionH relativeFrom="page">
            <wp:posOffset>6192520</wp:posOffset>
          </wp:positionH>
          <wp:positionV relativeFrom="page">
            <wp:posOffset>335915</wp:posOffset>
          </wp:positionV>
          <wp:extent cx="960755" cy="972820"/>
          <wp:effectExtent l="19050" t="0" r="0" b="0"/>
          <wp:wrapNone/>
          <wp:docPr id="4"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1"/>
                  <a:stretch>
                    <a:fillRect/>
                  </a:stretch>
                </pic:blipFill>
                <pic:spPr>
                  <a:xfrm>
                    <a:off x="0" y="0"/>
                    <a:ext cx="960755" cy="972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586F" w14:textId="77777777" w:rsidR="00922EC5" w:rsidRDefault="00922EC5" w:rsidP="003D1334">
    <w:pPr>
      <w:pStyle w:val="Koptekst"/>
    </w:pPr>
    <w:r>
      <w:rPr>
        <w:noProof/>
        <w:lang w:eastAsia="nl-BE"/>
      </w:rPr>
      <w:drawing>
        <wp:anchor distT="0" distB="0" distL="114300" distR="114300" simplePos="0" relativeHeight="251658242" behindDoc="0" locked="0" layoutInCell="1" allowOverlap="1" wp14:anchorId="4B8BBE2D" wp14:editId="4B8BBE2E">
          <wp:simplePos x="0" y="0"/>
          <wp:positionH relativeFrom="column">
            <wp:posOffset>10018</wp:posOffset>
          </wp:positionH>
          <wp:positionV relativeFrom="paragraph">
            <wp:posOffset>-64262</wp:posOffset>
          </wp:positionV>
          <wp:extent cx="3080185" cy="504749"/>
          <wp:effectExtent l="19050" t="0" r="5915" b="0"/>
          <wp:wrapNone/>
          <wp:docPr id="1" name="Afbeelding 0" descr="Adressering_ZWART-briefpapier-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sering_ZWART-briefpapier-0102.jpg"/>
                  <pic:cNvPicPr/>
                </pic:nvPicPr>
                <pic:blipFill>
                  <a:blip r:embed="rId1"/>
                  <a:stretch>
                    <a:fillRect/>
                  </a:stretch>
                </pic:blipFill>
                <pic:spPr>
                  <a:xfrm>
                    <a:off x="0" y="0"/>
                    <a:ext cx="3080185" cy="504749"/>
                  </a:xfrm>
                  <a:prstGeom prst="rect">
                    <a:avLst/>
                  </a:prstGeom>
                </pic:spPr>
              </pic:pic>
            </a:graphicData>
          </a:graphic>
        </wp:anchor>
      </w:drawing>
    </w:r>
    <w:r>
      <w:rPr>
        <w:noProof/>
        <w:lang w:eastAsia="nl-BE"/>
      </w:rPr>
      <w:drawing>
        <wp:anchor distT="0" distB="0" distL="114300" distR="114300" simplePos="0" relativeHeight="251658240" behindDoc="0" locked="0" layoutInCell="1" allowOverlap="1" wp14:anchorId="4B8BBE2F" wp14:editId="4B8BBE30">
          <wp:simplePos x="0" y="0"/>
          <wp:positionH relativeFrom="page">
            <wp:posOffset>6193079</wp:posOffset>
          </wp:positionH>
          <wp:positionV relativeFrom="page">
            <wp:posOffset>329184</wp:posOffset>
          </wp:positionV>
          <wp:extent cx="961187" cy="972922"/>
          <wp:effectExtent l="19050" t="0" r="0" b="0"/>
          <wp:wrapNone/>
          <wp:docPr id="7"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2"/>
                  <a:stretch>
                    <a:fillRect/>
                  </a:stretch>
                </pic:blipFill>
                <pic:spPr>
                  <a:xfrm>
                    <a:off x="0" y="0"/>
                    <a:ext cx="961187" cy="9729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9792917"/>
    <w:multiLevelType w:val="hybridMultilevel"/>
    <w:tmpl w:val="DCF2DB5C"/>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 w15:restartNumberingAfterBreak="0">
    <w:nsid w:val="0B0C7B8A"/>
    <w:multiLevelType w:val="multilevel"/>
    <w:tmpl w:val="030ADACE"/>
    <w:lvl w:ilvl="0">
      <w:start w:val="1"/>
      <w:numFmt w:val="decimal"/>
      <w:suff w:val="space"/>
      <w:lvlText w:val="%1"/>
      <w:lvlJc w:val="right"/>
      <w:pPr>
        <w:ind w:left="0" w:firstLine="0"/>
      </w:pPr>
      <w:rPr>
        <w:rFonts w:hint="default"/>
      </w:rPr>
    </w:lvl>
    <w:lvl w:ilvl="1">
      <w:start w:val="1"/>
      <w:numFmt w:val="decimal"/>
      <w:suff w:val="space"/>
      <w:lvlText w:val="%1.%2"/>
      <w:lvlJc w:val="right"/>
      <w:pPr>
        <w:ind w:left="0" w:firstLine="0"/>
      </w:pPr>
      <w:rPr>
        <w:rFonts w:hint="default"/>
      </w:rPr>
    </w:lvl>
    <w:lvl w:ilvl="2">
      <w:start w:val="1"/>
      <w:numFmt w:val="decimal"/>
      <w:suff w:val="space"/>
      <w:lvlText w:val="%1.%2.%3"/>
      <w:lvlJc w:val="right"/>
      <w:pPr>
        <w:ind w:left="0" w:firstLine="0"/>
      </w:pPr>
      <w:rPr>
        <w:rFonts w:hint="default"/>
      </w:rPr>
    </w:lvl>
    <w:lvl w:ilvl="3">
      <w:start w:val="1"/>
      <w:numFmt w:val="decimal"/>
      <w:suff w:val="space"/>
      <w:lvlText w:val="%1.%2.%3.%4"/>
      <w:lvlJc w:val="right"/>
      <w:pPr>
        <w:ind w:left="0" w:firstLine="0"/>
      </w:pPr>
      <w:rPr>
        <w:rFonts w:hint="default"/>
      </w:rPr>
    </w:lvl>
    <w:lvl w:ilvl="4">
      <w:start w:val="1"/>
      <w:numFmt w:val="decimal"/>
      <w:suff w:val="space"/>
      <w:lvlText w:val="%1.%2.%3.%4.%5"/>
      <w:lvlJc w:val="right"/>
      <w:pPr>
        <w:ind w:left="0" w:firstLine="0"/>
      </w:pPr>
      <w:rPr>
        <w:rFonts w:hint="default"/>
      </w:rPr>
    </w:lvl>
    <w:lvl w:ilvl="5">
      <w:start w:val="1"/>
      <w:numFmt w:val="decimal"/>
      <w:suff w:val="space"/>
      <w:lvlText w:val="%1.%2.%3.%4.%5.%6"/>
      <w:lvlJc w:val="right"/>
      <w:pPr>
        <w:ind w:left="0" w:firstLine="0"/>
      </w:pPr>
      <w:rPr>
        <w:rFonts w:hint="default"/>
      </w:rPr>
    </w:lvl>
    <w:lvl w:ilvl="6">
      <w:start w:val="1"/>
      <w:numFmt w:val="decimal"/>
      <w:suff w:val="space"/>
      <w:lvlText w:val="%1.%2.%3.%4.%5.%6.%7"/>
      <w:lvlJc w:val="right"/>
      <w:pPr>
        <w:ind w:left="0" w:firstLine="0"/>
      </w:pPr>
      <w:rPr>
        <w:rFonts w:hint="default"/>
      </w:rPr>
    </w:lvl>
    <w:lvl w:ilvl="7">
      <w:start w:val="1"/>
      <w:numFmt w:val="decimal"/>
      <w:suff w:val="space"/>
      <w:lvlText w:val="%1.%2.%3.%4.%5.%6.%7.%8"/>
      <w:lvlJc w:val="right"/>
      <w:pPr>
        <w:ind w:left="0" w:firstLine="0"/>
      </w:pPr>
      <w:rPr>
        <w:rFonts w:hint="default"/>
      </w:rPr>
    </w:lvl>
    <w:lvl w:ilvl="8">
      <w:start w:val="1"/>
      <w:numFmt w:val="decimal"/>
      <w:suff w:val="space"/>
      <w:lvlText w:val="%1.%2.%3.%4.%5.%6.%7.%8.%9"/>
      <w:lvlJc w:val="right"/>
      <w:pPr>
        <w:ind w:left="0" w:firstLine="0"/>
      </w:pPr>
      <w:rPr>
        <w:rFonts w:hint="default"/>
      </w:rPr>
    </w:lvl>
  </w:abstractNum>
  <w:abstractNum w:abstractNumId="3"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4" w15:restartNumberingAfterBreak="0">
    <w:nsid w:val="14194599"/>
    <w:multiLevelType w:val="multilevel"/>
    <w:tmpl w:val="C0C842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D947ED5"/>
    <w:multiLevelType w:val="hybridMultilevel"/>
    <w:tmpl w:val="B9C44E74"/>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7" w15:restartNumberingAfterBreak="0">
    <w:nsid w:val="22D75254"/>
    <w:multiLevelType w:val="hybridMultilevel"/>
    <w:tmpl w:val="48DEC57A"/>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0" w15:restartNumberingAfterBreak="0">
    <w:nsid w:val="3B3F2AB1"/>
    <w:multiLevelType w:val="hybridMultilevel"/>
    <w:tmpl w:val="DB4A42D4"/>
    <w:lvl w:ilvl="0" w:tplc="40F6AC0A">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2533566"/>
    <w:multiLevelType w:val="hybridMultilevel"/>
    <w:tmpl w:val="BD805B2A"/>
    <w:lvl w:ilvl="0" w:tplc="42B43E90">
      <w:start w:val="1"/>
      <w:numFmt w:val="bullet"/>
      <w:lvlText w:val="•"/>
      <w:lvlJc w:val="left"/>
      <w:pPr>
        <w:tabs>
          <w:tab w:val="num" w:pos="720"/>
        </w:tabs>
        <w:ind w:left="720" w:hanging="360"/>
      </w:pPr>
      <w:rPr>
        <w:rFonts w:ascii="Arial" w:hAnsi="Arial" w:cs="Times New Roman" w:hint="default"/>
      </w:rPr>
    </w:lvl>
    <w:lvl w:ilvl="1" w:tplc="896449A6">
      <w:start w:val="206"/>
      <w:numFmt w:val="bullet"/>
      <w:lvlText w:val="•"/>
      <w:lvlJc w:val="left"/>
      <w:pPr>
        <w:tabs>
          <w:tab w:val="num" w:pos="1440"/>
        </w:tabs>
        <w:ind w:left="1440" w:hanging="360"/>
      </w:pPr>
      <w:rPr>
        <w:rFonts w:ascii="Arial" w:hAnsi="Arial" w:cs="Times New Roman" w:hint="default"/>
      </w:rPr>
    </w:lvl>
    <w:lvl w:ilvl="2" w:tplc="BE44B5FA">
      <w:start w:val="1"/>
      <w:numFmt w:val="bullet"/>
      <w:lvlText w:val="•"/>
      <w:lvlJc w:val="left"/>
      <w:pPr>
        <w:tabs>
          <w:tab w:val="num" w:pos="2160"/>
        </w:tabs>
        <w:ind w:left="2160" w:hanging="360"/>
      </w:pPr>
      <w:rPr>
        <w:rFonts w:ascii="Arial" w:hAnsi="Arial" w:cs="Times New Roman" w:hint="default"/>
      </w:rPr>
    </w:lvl>
    <w:lvl w:ilvl="3" w:tplc="F062760C">
      <w:start w:val="1"/>
      <w:numFmt w:val="bullet"/>
      <w:lvlText w:val="•"/>
      <w:lvlJc w:val="left"/>
      <w:pPr>
        <w:tabs>
          <w:tab w:val="num" w:pos="2880"/>
        </w:tabs>
        <w:ind w:left="2880" w:hanging="360"/>
      </w:pPr>
      <w:rPr>
        <w:rFonts w:ascii="Arial" w:hAnsi="Arial" w:cs="Times New Roman" w:hint="default"/>
      </w:rPr>
    </w:lvl>
    <w:lvl w:ilvl="4" w:tplc="2766FA2C">
      <w:start w:val="1"/>
      <w:numFmt w:val="bullet"/>
      <w:lvlText w:val="•"/>
      <w:lvlJc w:val="left"/>
      <w:pPr>
        <w:tabs>
          <w:tab w:val="num" w:pos="3600"/>
        </w:tabs>
        <w:ind w:left="3600" w:hanging="360"/>
      </w:pPr>
      <w:rPr>
        <w:rFonts w:ascii="Arial" w:hAnsi="Arial" w:cs="Times New Roman" w:hint="default"/>
      </w:rPr>
    </w:lvl>
    <w:lvl w:ilvl="5" w:tplc="01EC3556">
      <w:start w:val="1"/>
      <w:numFmt w:val="bullet"/>
      <w:lvlText w:val="•"/>
      <w:lvlJc w:val="left"/>
      <w:pPr>
        <w:tabs>
          <w:tab w:val="num" w:pos="4320"/>
        </w:tabs>
        <w:ind w:left="4320" w:hanging="360"/>
      </w:pPr>
      <w:rPr>
        <w:rFonts w:ascii="Arial" w:hAnsi="Arial" w:cs="Times New Roman" w:hint="default"/>
      </w:rPr>
    </w:lvl>
    <w:lvl w:ilvl="6" w:tplc="8EBADE1C">
      <w:start w:val="1"/>
      <w:numFmt w:val="bullet"/>
      <w:lvlText w:val="•"/>
      <w:lvlJc w:val="left"/>
      <w:pPr>
        <w:tabs>
          <w:tab w:val="num" w:pos="5040"/>
        </w:tabs>
        <w:ind w:left="5040" w:hanging="360"/>
      </w:pPr>
      <w:rPr>
        <w:rFonts w:ascii="Arial" w:hAnsi="Arial" w:cs="Times New Roman" w:hint="default"/>
      </w:rPr>
    </w:lvl>
    <w:lvl w:ilvl="7" w:tplc="62A0F0BE">
      <w:start w:val="1"/>
      <w:numFmt w:val="bullet"/>
      <w:lvlText w:val="•"/>
      <w:lvlJc w:val="left"/>
      <w:pPr>
        <w:tabs>
          <w:tab w:val="num" w:pos="5760"/>
        </w:tabs>
        <w:ind w:left="5760" w:hanging="360"/>
      </w:pPr>
      <w:rPr>
        <w:rFonts w:ascii="Arial" w:hAnsi="Arial" w:cs="Times New Roman" w:hint="default"/>
      </w:rPr>
    </w:lvl>
    <w:lvl w:ilvl="8" w:tplc="69403376">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13"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14" w15:restartNumberingAfterBreak="0">
    <w:nsid w:val="617632D6"/>
    <w:multiLevelType w:val="hybridMultilevel"/>
    <w:tmpl w:val="CB063E74"/>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5" w15:restartNumberingAfterBreak="0">
    <w:nsid w:val="66E76E66"/>
    <w:multiLevelType w:val="hybridMultilevel"/>
    <w:tmpl w:val="2D0EB68E"/>
    <w:lvl w:ilvl="0" w:tplc="BCF46780">
      <w:start w:val="1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68595A62"/>
    <w:multiLevelType w:val="hybridMultilevel"/>
    <w:tmpl w:val="0FE8774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698B4E9C"/>
    <w:multiLevelType w:val="hybridMultilevel"/>
    <w:tmpl w:val="17AED860"/>
    <w:lvl w:ilvl="0" w:tplc="DF4E3104">
      <w:start w:val="1"/>
      <w:numFmt w:val="bullet"/>
      <w:lvlText w:val=""/>
      <w:lvlJc w:val="left"/>
      <w:pPr>
        <w:ind w:left="720" w:hanging="360"/>
      </w:pPr>
      <w:rPr>
        <w:rFonts w:ascii="Symbol" w:hAnsi="Symbol" w:hint="default"/>
        <w:caps w:val="0"/>
        <w:strike w:val="0"/>
        <w:dstrike w:val="0"/>
        <w:color w:val="CC0077"/>
        <w:spacing w:val="0"/>
        <w:w w:val="100"/>
        <w:position w:val="0"/>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E992BE8"/>
    <w:multiLevelType w:val="multilevel"/>
    <w:tmpl w:val="42F87E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793A0B"/>
    <w:multiLevelType w:val="multilevel"/>
    <w:tmpl w:val="76C86D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F243F4"/>
    <w:multiLevelType w:val="hybridMultilevel"/>
    <w:tmpl w:val="A4F831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67E1FCE"/>
    <w:multiLevelType w:val="hybridMultilevel"/>
    <w:tmpl w:val="DA404F08"/>
    <w:lvl w:ilvl="0" w:tplc="448625AE">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15:restartNumberingAfterBreak="0">
    <w:nsid w:val="7EEF7C15"/>
    <w:multiLevelType w:val="hybridMultilevel"/>
    <w:tmpl w:val="07B4FF5E"/>
    <w:lvl w:ilvl="0" w:tplc="441675BE">
      <w:start w:val="1"/>
      <w:numFmt w:val="bullet"/>
      <w:lvlText w:val="•"/>
      <w:lvlJc w:val="left"/>
      <w:pPr>
        <w:tabs>
          <w:tab w:val="num" w:pos="720"/>
        </w:tabs>
        <w:ind w:left="720" w:hanging="360"/>
      </w:pPr>
      <w:rPr>
        <w:rFonts w:ascii="Arial" w:hAnsi="Arial" w:cs="Times New Roman" w:hint="default"/>
      </w:rPr>
    </w:lvl>
    <w:lvl w:ilvl="1" w:tplc="67A0CF6C">
      <w:start w:val="750"/>
      <w:numFmt w:val="bullet"/>
      <w:lvlText w:val="•"/>
      <w:lvlJc w:val="left"/>
      <w:pPr>
        <w:tabs>
          <w:tab w:val="num" w:pos="1440"/>
        </w:tabs>
        <w:ind w:left="1440" w:hanging="360"/>
      </w:pPr>
      <w:rPr>
        <w:rFonts w:ascii="Arial" w:hAnsi="Arial" w:cs="Times New Roman" w:hint="default"/>
      </w:rPr>
    </w:lvl>
    <w:lvl w:ilvl="2" w:tplc="128A8094">
      <w:start w:val="750"/>
      <w:numFmt w:val="bullet"/>
      <w:lvlText w:val="•"/>
      <w:lvlJc w:val="left"/>
      <w:pPr>
        <w:tabs>
          <w:tab w:val="num" w:pos="2160"/>
        </w:tabs>
        <w:ind w:left="2160" w:hanging="360"/>
      </w:pPr>
      <w:rPr>
        <w:rFonts w:ascii="Arial" w:hAnsi="Arial" w:cs="Times New Roman" w:hint="default"/>
      </w:rPr>
    </w:lvl>
    <w:lvl w:ilvl="3" w:tplc="0E8EBB3C">
      <w:start w:val="1"/>
      <w:numFmt w:val="bullet"/>
      <w:lvlText w:val="•"/>
      <w:lvlJc w:val="left"/>
      <w:pPr>
        <w:tabs>
          <w:tab w:val="num" w:pos="2880"/>
        </w:tabs>
        <w:ind w:left="2880" w:hanging="360"/>
      </w:pPr>
      <w:rPr>
        <w:rFonts w:ascii="Arial" w:hAnsi="Arial" w:cs="Times New Roman" w:hint="default"/>
      </w:rPr>
    </w:lvl>
    <w:lvl w:ilvl="4" w:tplc="705C065E">
      <w:start w:val="1"/>
      <w:numFmt w:val="bullet"/>
      <w:lvlText w:val="•"/>
      <w:lvlJc w:val="left"/>
      <w:pPr>
        <w:tabs>
          <w:tab w:val="num" w:pos="3600"/>
        </w:tabs>
        <w:ind w:left="3600" w:hanging="360"/>
      </w:pPr>
      <w:rPr>
        <w:rFonts w:ascii="Arial" w:hAnsi="Arial" w:cs="Times New Roman" w:hint="default"/>
      </w:rPr>
    </w:lvl>
    <w:lvl w:ilvl="5" w:tplc="908CC9A0">
      <w:start w:val="1"/>
      <w:numFmt w:val="bullet"/>
      <w:lvlText w:val="•"/>
      <w:lvlJc w:val="left"/>
      <w:pPr>
        <w:tabs>
          <w:tab w:val="num" w:pos="4320"/>
        </w:tabs>
        <w:ind w:left="4320" w:hanging="360"/>
      </w:pPr>
      <w:rPr>
        <w:rFonts w:ascii="Arial" w:hAnsi="Arial" w:cs="Times New Roman" w:hint="default"/>
      </w:rPr>
    </w:lvl>
    <w:lvl w:ilvl="6" w:tplc="B0EE2BA8">
      <w:start w:val="1"/>
      <w:numFmt w:val="bullet"/>
      <w:lvlText w:val="•"/>
      <w:lvlJc w:val="left"/>
      <w:pPr>
        <w:tabs>
          <w:tab w:val="num" w:pos="5040"/>
        </w:tabs>
        <w:ind w:left="5040" w:hanging="360"/>
      </w:pPr>
      <w:rPr>
        <w:rFonts w:ascii="Arial" w:hAnsi="Arial" w:cs="Times New Roman" w:hint="default"/>
      </w:rPr>
    </w:lvl>
    <w:lvl w:ilvl="7" w:tplc="5AA4D33C">
      <w:start w:val="1"/>
      <w:numFmt w:val="bullet"/>
      <w:lvlText w:val="•"/>
      <w:lvlJc w:val="left"/>
      <w:pPr>
        <w:tabs>
          <w:tab w:val="num" w:pos="5760"/>
        </w:tabs>
        <w:ind w:left="5760" w:hanging="360"/>
      </w:pPr>
      <w:rPr>
        <w:rFonts w:ascii="Arial" w:hAnsi="Arial" w:cs="Times New Roman" w:hint="default"/>
      </w:rPr>
    </w:lvl>
    <w:lvl w:ilvl="8" w:tplc="550C30FC">
      <w:start w:val="1"/>
      <w:numFmt w:val="bullet"/>
      <w:lvlText w:val="•"/>
      <w:lvlJc w:val="left"/>
      <w:pPr>
        <w:tabs>
          <w:tab w:val="num" w:pos="6480"/>
        </w:tabs>
        <w:ind w:left="6480" w:hanging="360"/>
      </w:pPr>
      <w:rPr>
        <w:rFonts w:ascii="Arial" w:hAnsi="Arial" w:cs="Times New Roman" w:hint="default"/>
      </w:rPr>
    </w:lvl>
  </w:abstractNum>
  <w:num w:numId="1" w16cid:durableId="1203178206">
    <w:abstractNumId w:val="3"/>
  </w:num>
  <w:num w:numId="2" w16cid:durableId="756943625">
    <w:abstractNumId w:val="4"/>
  </w:num>
  <w:num w:numId="3" w16cid:durableId="908152931">
    <w:abstractNumId w:val="19"/>
  </w:num>
  <w:num w:numId="4" w16cid:durableId="1068112608">
    <w:abstractNumId w:val="18"/>
  </w:num>
  <w:num w:numId="5" w16cid:durableId="392124114">
    <w:abstractNumId w:val="17"/>
  </w:num>
  <w:num w:numId="6" w16cid:durableId="920333253">
    <w:abstractNumId w:val="7"/>
  </w:num>
  <w:num w:numId="7" w16cid:durableId="937642625">
    <w:abstractNumId w:val="10"/>
  </w:num>
  <w:num w:numId="8" w16cid:durableId="1102068771">
    <w:abstractNumId w:val="2"/>
  </w:num>
  <w:num w:numId="9" w16cid:durableId="1113355999">
    <w:abstractNumId w:val="10"/>
    <w:lvlOverride w:ilvl="0">
      <w:startOverride w:val="1"/>
    </w:lvlOverride>
  </w:num>
  <w:num w:numId="10" w16cid:durableId="164065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678483">
    <w:abstractNumId w:val="12"/>
  </w:num>
  <w:num w:numId="12" w16cid:durableId="978877589">
    <w:abstractNumId w:val="12"/>
  </w:num>
  <w:num w:numId="13" w16cid:durableId="458766196">
    <w:abstractNumId w:val="12"/>
  </w:num>
  <w:num w:numId="14" w16cid:durableId="35862771">
    <w:abstractNumId w:val="12"/>
  </w:num>
  <w:num w:numId="15" w16cid:durableId="1822696131">
    <w:abstractNumId w:val="12"/>
  </w:num>
  <w:num w:numId="16" w16cid:durableId="553666327">
    <w:abstractNumId w:val="12"/>
  </w:num>
  <w:num w:numId="17" w16cid:durableId="2125417368">
    <w:abstractNumId w:val="12"/>
  </w:num>
  <w:num w:numId="18" w16cid:durableId="1344627749">
    <w:abstractNumId w:val="12"/>
  </w:num>
  <w:num w:numId="19" w16cid:durableId="1098670952">
    <w:abstractNumId w:val="12"/>
  </w:num>
  <w:num w:numId="20" w16cid:durableId="2122452285">
    <w:abstractNumId w:val="8"/>
  </w:num>
  <w:num w:numId="21" w16cid:durableId="130367434">
    <w:abstractNumId w:val="5"/>
  </w:num>
  <w:num w:numId="22" w16cid:durableId="304286792">
    <w:abstractNumId w:val="0"/>
  </w:num>
  <w:num w:numId="23" w16cid:durableId="826556532">
    <w:abstractNumId w:val="0"/>
  </w:num>
  <w:num w:numId="24" w16cid:durableId="2022975679">
    <w:abstractNumId w:val="5"/>
  </w:num>
  <w:num w:numId="25" w16cid:durableId="1265844607">
    <w:abstractNumId w:val="9"/>
  </w:num>
  <w:num w:numId="26" w16cid:durableId="213155634">
    <w:abstractNumId w:val="8"/>
  </w:num>
  <w:num w:numId="27" w16cid:durableId="1273199206">
    <w:abstractNumId w:val="13"/>
  </w:num>
  <w:num w:numId="28" w16cid:durableId="812866701">
    <w:abstractNumId w:val="12"/>
  </w:num>
  <w:num w:numId="29" w16cid:durableId="977756929">
    <w:abstractNumId w:val="12"/>
  </w:num>
  <w:num w:numId="30" w16cid:durableId="526605051">
    <w:abstractNumId w:val="12"/>
  </w:num>
  <w:num w:numId="31" w16cid:durableId="922494820">
    <w:abstractNumId w:val="12"/>
  </w:num>
  <w:num w:numId="32" w16cid:durableId="729303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4410016">
    <w:abstractNumId w:val="11"/>
  </w:num>
  <w:num w:numId="34" w16cid:durableId="339701238">
    <w:abstractNumId w:val="22"/>
  </w:num>
  <w:num w:numId="35" w16cid:durableId="19266486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9630976">
    <w:abstractNumId w:val="16"/>
  </w:num>
  <w:num w:numId="37" w16cid:durableId="22679069">
    <w:abstractNumId w:val="15"/>
  </w:num>
  <w:num w:numId="38" w16cid:durableId="2136096771">
    <w:abstractNumId w:val="21"/>
  </w:num>
  <w:num w:numId="39" w16cid:durableId="302776383">
    <w:abstractNumId w:val="20"/>
  </w:num>
  <w:num w:numId="40" w16cid:durableId="1824857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evenAndOddHeaders/>
  <w:drawingGridHorizontalSpacing w:val="9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C2"/>
    <w:rsid w:val="00004622"/>
    <w:rsid w:val="0001429E"/>
    <w:rsid w:val="00020F97"/>
    <w:rsid w:val="00027C2B"/>
    <w:rsid w:val="000308C3"/>
    <w:rsid w:val="00032DA4"/>
    <w:rsid w:val="0003410D"/>
    <w:rsid w:val="0005572A"/>
    <w:rsid w:val="00060560"/>
    <w:rsid w:val="00063F07"/>
    <w:rsid w:val="00066636"/>
    <w:rsid w:val="0006782A"/>
    <w:rsid w:val="00074570"/>
    <w:rsid w:val="000857EA"/>
    <w:rsid w:val="00086BBC"/>
    <w:rsid w:val="00093103"/>
    <w:rsid w:val="000939F0"/>
    <w:rsid w:val="000A7048"/>
    <w:rsid w:val="000A7497"/>
    <w:rsid w:val="000A77E9"/>
    <w:rsid w:val="000B617B"/>
    <w:rsid w:val="000D2B07"/>
    <w:rsid w:val="000D40F2"/>
    <w:rsid w:val="000D4F03"/>
    <w:rsid w:val="000E33D0"/>
    <w:rsid w:val="000F0F55"/>
    <w:rsid w:val="00111169"/>
    <w:rsid w:val="00112875"/>
    <w:rsid w:val="001172A1"/>
    <w:rsid w:val="00120F5B"/>
    <w:rsid w:val="00127422"/>
    <w:rsid w:val="001413C4"/>
    <w:rsid w:val="00143560"/>
    <w:rsid w:val="00146193"/>
    <w:rsid w:val="00160285"/>
    <w:rsid w:val="00170CA5"/>
    <w:rsid w:val="00177D4D"/>
    <w:rsid w:val="0018564B"/>
    <w:rsid w:val="001A31FD"/>
    <w:rsid w:val="001A5C20"/>
    <w:rsid w:val="001A790D"/>
    <w:rsid w:val="001B071F"/>
    <w:rsid w:val="001B1AC8"/>
    <w:rsid w:val="001C3C37"/>
    <w:rsid w:val="001C4E35"/>
    <w:rsid w:val="001C6234"/>
    <w:rsid w:val="001D6A4A"/>
    <w:rsid w:val="001D7AC1"/>
    <w:rsid w:val="001E3D2E"/>
    <w:rsid w:val="00206331"/>
    <w:rsid w:val="002259BC"/>
    <w:rsid w:val="00230D5D"/>
    <w:rsid w:val="002356E5"/>
    <w:rsid w:val="002412C9"/>
    <w:rsid w:val="00242800"/>
    <w:rsid w:val="00242D45"/>
    <w:rsid w:val="00252ED8"/>
    <w:rsid w:val="00255B5D"/>
    <w:rsid w:val="00276326"/>
    <w:rsid w:val="002772C7"/>
    <w:rsid w:val="002841B5"/>
    <w:rsid w:val="00285035"/>
    <w:rsid w:val="00290A89"/>
    <w:rsid w:val="00292F9E"/>
    <w:rsid w:val="00296FF0"/>
    <w:rsid w:val="002A05A3"/>
    <w:rsid w:val="002A3DEF"/>
    <w:rsid w:val="002B051C"/>
    <w:rsid w:val="002B4A00"/>
    <w:rsid w:val="002B53BB"/>
    <w:rsid w:val="002C2BCA"/>
    <w:rsid w:val="002C30A5"/>
    <w:rsid w:val="002C6CDB"/>
    <w:rsid w:val="002D0A8D"/>
    <w:rsid w:val="002D4869"/>
    <w:rsid w:val="002D6765"/>
    <w:rsid w:val="002D6AE4"/>
    <w:rsid w:val="002D7D84"/>
    <w:rsid w:val="00307F4F"/>
    <w:rsid w:val="00316C06"/>
    <w:rsid w:val="00322BF6"/>
    <w:rsid w:val="00334C13"/>
    <w:rsid w:val="00344A6E"/>
    <w:rsid w:val="003459BF"/>
    <w:rsid w:val="00350601"/>
    <w:rsid w:val="00351494"/>
    <w:rsid w:val="00373A6D"/>
    <w:rsid w:val="00375AA2"/>
    <w:rsid w:val="00385CA5"/>
    <w:rsid w:val="00390A92"/>
    <w:rsid w:val="00396287"/>
    <w:rsid w:val="003A53D5"/>
    <w:rsid w:val="003B024D"/>
    <w:rsid w:val="003D088D"/>
    <w:rsid w:val="003D1334"/>
    <w:rsid w:val="003D699C"/>
    <w:rsid w:val="003D7A05"/>
    <w:rsid w:val="003E251E"/>
    <w:rsid w:val="003E5ACE"/>
    <w:rsid w:val="003E721F"/>
    <w:rsid w:val="004032E5"/>
    <w:rsid w:val="004077DE"/>
    <w:rsid w:val="004116AF"/>
    <w:rsid w:val="004239CA"/>
    <w:rsid w:val="00424D5D"/>
    <w:rsid w:val="004348AA"/>
    <w:rsid w:val="0043521C"/>
    <w:rsid w:val="00437C9B"/>
    <w:rsid w:val="00443190"/>
    <w:rsid w:val="004433FB"/>
    <w:rsid w:val="00443D99"/>
    <w:rsid w:val="004553C9"/>
    <w:rsid w:val="004579C9"/>
    <w:rsid w:val="00457C74"/>
    <w:rsid w:val="0046556A"/>
    <w:rsid w:val="00467DEB"/>
    <w:rsid w:val="0047247B"/>
    <w:rsid w:val="0047457D"/>
    <w:rsid w:val="00480CC6"/>
    <w:rsid w:val="00484BE7"/>
    <w:rsid w:val="00496FD6"/>
    <w:rsid w:val="004A777D"/>
    <w:rsid w:val="004B1908"/>
    <w:rsid w:val="004B1B19"/>
    <w:rsid w:val="004B43D2"/>
    <w:rsid w:val="004B486C"/>
    <w:rsid w:val="004B4C4D"/>
    <w:rsid w:val="004B6ED9"/>
    <w:rsid w:val="004C096B"/>
    <w:rsid w:val="004C6F86"/>
    <w:rsid w:val="004D2D5C"/>
    <w:rsid w:val="004F06C9"/>
    <w:rsid w:val="004F5C85"/>
    <w:rsid w:val="00503DB4"/>
    <w:rsid w:val="00505021"/>
    <w:rsid w:val="005079D7"/>
    <w:rsid w:val="005170CD"/>
    <w:rsid w:val="005252D1"/>
    <w:rsid w:val="005417F2"/>
    <w:rsid w:val="0054514C"/>
    <w:rsid w:val="005505DD"/>
    <w:rsid w:val="00560608"/>
    <w:rsid w:val="005618ED"/>
    <w:rsid w:val="00565448"/>
    <w:rsid w:val="0056548F"/>
    <w:rsid w:val="0056605D"/>
    <w:rsid w:val="00576791"/>
    <w:rsid w:val="00591647"/>
    <w:rsid w:val="00591993"/>
    <w:rsid w:val="005A159E"/>
    <w:rsid w:val="005A4945"/>
    <w:rsid w:val="005B09E3"/>
    <w:rsid w:val="005B0DC8"/>
    <w:rsid w:val="005B5C7D"/>
    <w:rsid w:val="005B7E02"/>
    <w:rsid w:val="005C173D"/>
    <w:rsid w:val="005C4D6A"/>
    <w:rsid w:val="005C55C3"/>
    <w:rsid w:val="005C5B05"/>
    <w:rsid w:val="005C6551"/>
    <w:rsid w:val="005D6CEF"/>
    <w:rsid w:val="005E2985"/>
    <w:rsid w:val="005E5D7A"/>
    <w:rsid w:val="005E5F1E"/>
    <w:rsid w:val="005E7A22"/>
    <w:rsid w:val="006000A5"/>
    <w:rsid w:val="00600D68"/>
    <w:rsid w:val="006110B6"/>
    <w:rsid w:val="0061359A"/>
    <w:rsid w:val="00624CC1"/>
    <w:rsid w:val="006353F9"/>
    <w:rsid w:val="00636FBE"/>
    <w:rsid w:val="00640582"/>
    <w:rsid w:val="00643C6A"/>
    <w:rsid w:val="0064400F"/>
    <w:rsid w:val="00644F18"/>
    <w:rsid w:val="00647F78"/>
    <w:rsid w:val="00651F67"/>
    <w:rsid w:val="00664EE4"/>
    <w:rsid w:val="00665625"/>
    <w:rsid w:val="00667C37"/>
    <w:rsid w:val="00683810"/>
    <w:rsid w:val="00683832"/>
    <w:rsid w:val="006977F1"/>
    <w:rsid w:val="00697EE6"/>
    <w:rsid w:val="006A688C"/>
    <w:rsid w:val="006B3298"/>
    <w:rsid w:val="006C2525"/>
    <w:rsid w:val="006C3063"/>
    <w:rsid w:val="006C3628"/>
    <w:rsid w:val="006C62C0"/>
    <w:rsid w:val="006D34CE"/>
    <w:rsid w:val="006D6D55"/>
    <w:rsid w:val="006E02B3"/>
    <w:rsid w:val="006F0782"/>
    <w:rsid w:val="006F1E5C"/>
    <w:rsid w:val="0071720D"/>
    <w:rsid w:val="007212A1"/>
    <w:rsid w:val="0073454D"/>
    <w:rsid w:val="007404ED"/>
    <w:rsid w:val="00740713"/>
    <w:rsid w:val="00743128"/>
    <w:rsid w:val="007445C9"/>
    <w:rsid w:val="0075661A"/>
    <w:rsid w:val="007578B2"/>
    <w:rsid w:val="00764F09"/>
    <w:rsid w:val="0076622C"/>
    <w:rsid w:val="007778F4"/>
    <w:rsid w:val="007A03EB"/>
    <w:rsid w:val="007A1A74"/>
    <w:rsid w:val="007A2149"/>
    <w:rsid w:val="007B28A6"/>
    <w:rsid w:val="007B7DCB"/>
    <w:rsid w:val="007B7FA9"/>
    <w:rsid w:val="007C2517"/>
    <w:rsid w:val="007C53BA"/>
    <w:rsid w:val="007D314E"/>
    <w:rsid w:val="007E0400"/>
    <w:rsid w:val="007E2E9E"/>
    <w:rsid w:val="007E3D9A"/>
    <w:rsid w:val="007F3EF0"/>
    <w:rsid w:val="007F52D6"/>
    <w:rsid w:val="007F61B7"/>
    <w:rsid w:val="008040A1"/>
    <w:rsid w:val="00810FB0"/>
    <w:rsid w:val="00821EAE"/>
    <w:rsid w:val="00822D05"/>
    <w:rsid w:val="008246F1"/>
    <w:rsid w:val="00825346"/>
    <w:rsid w:val="0083462B"/>
    <w:rsid w:val="00840B22"/>
    <w:rsid w:val="00843951"/>
    <w:rsid w:val="008607D2"/>
    <w:rsid w:val="00887152"/>
    <w:rsid w:val="008A5144"/>
    <w:rsid w:val="008A6083"/>
    <w:rsid w:val="008A66FE"/>
    <w:rsid w:val="008C1E90"/>
    <w:rsid w:val="008C5B06"/>
    <w:rsid w:val="008D2CD0"/>
    <w:rsid w:val="008D6848"/>
    <w:rsid w:val="008E393F"/>
    <w:rsid w:val="008E53C9"/>
    <w:rsid w:val="008E5C76"/>
    <w:rsid w:val="008F5D98"/>
    <w:rsid w:val="00903B5C"/>
    <w:rsid w:val="00907818"/>
    <w:rsid w:val="00921E9C"/>
    <w:rsid w:val="00922EC5"/>
    <w:rsid w:val="00924B88"/>
    <w:rsid w:val="00931B67"/>
    <w:rsid w:val="009343B7"/>
    <w:rsid w:val="0094045D"/>
    <w:rsid w:val="0095090A"/>
    <w:rsid w:val="00952405"/>
    <w:rsid w:val="00961DCB"/>
    <w:rsid w:val="00970CCD"/>
    <w:rsid w:val="0097159E"/>
    <w:rsid w:val="00981C09"/>
    <w:rsid w:val="00985103"/>
    <w:rsid w:val="009A2C86"/>
    <w:rsid w:val="009B777C"/>
    <w:rsid w:val="009D257D"/>
    <w:rsid w:val="009D5EF4"/>
    <w:rsid w:val="009D6A35"/>
    <w:rsid w:val="00A330F4"/>
    <w:rsid w:val="00A46DB4"/>
    <w:rsid w:val="00A54F42"/>
    <w:rsid w:val="00A55301"/>
    <w:rsid w:val="00A64824"/>
    <w:rsid w:val="00A669CF"/>
    <w:rsid w:val="00A80FA7"/>
    <w:rsid w:val="00A82866"/>
    <w:rsid w:val="00A835E0"/>
    <w:rsid w:val="00A92079"/>
    <w:rsid w:val="00A95E1B"/>
    <w:rsid w:val="00AB1373"/>
    <w:rsid w:val="00AB2D3D"/>
    <w:rsid w:val="00AC12A8"/>
    <w:rsid w:val="00AE2EBF"/>
    <w:rsid w:val="00AF7641"/>
    <w:rsid w:val="00B25741"/>
    <w:rsid w:val="00B27B8A"/>
    <w:rsid w:val="00B630DC"/>
    <w:rsid w:val="00B66CB4"/>
    <w:rsid w:val="00B730DA"/>
    <w:rsid w:val="00B7602E"/>
    <w:rsid w:val="00B817A5"/>
    <w:rsid w:val="00B847A6"/>
    <w:rsid w:val="00BB0B74"/>
    <w:rsid w:val="00BB27C9"/>
    <w:rsid w:val="00BC0F67"/>
    <w:rsid w:val="00BC12C7"/>
    <w:rsid w:val="00BD7E19"/>
    <w:rsid w:val="00BE2748"/>
    <w:rsid w:val="00BF09BE"/>
    <w:rsid w:val="00BF1A6E"/>
    <w:rsid w:val="00C00AD1"/>
    <w:rsid w:val="00C02FE3"/>
    <w:rsid w:val="00C035F0"/>
    <w:rsid w:val="00C22832"/>
    <w:rsid w:val="00C244B8"/>
    <w:rsid w:val="00C30660"/>
    <w:rsid w:val="00C35A64"/>
    <w:rsid w:val="00C4738B"/>
    <w:rsid w:val="00C47CBE"/>
    <w:rsid w:val="00C50AEA"/>
    <w:rsid w:val="00C64AD4"/>
    <w:rsid w:val="00C650D7"/>
    <w:rsid w:val="00C65CFD"/>
    <w:rsid w:val="00C66378"/>
    <w:rsid w:val="00C72132"/>
    <w:rsid w:val="00C77D88"/>
    <w:rsid w:val="00C84E61"/>
    <w:rsid w:val="00C9693D"/>
    <w:rsid w:val="00CA0D14"/>
    <w:rsid w:val="00CA16D0"/>
    <w:rsid w:val="00CA2031"/>
    <w:rsid w:val="00CA39F2"/>
    <w:rsid w:val="00CA7305"/>
    <w:rsid w:val="00CA7EC6"/>
    <w:rsid w:val="00CC1014"/>
    <w:rsid w:val="00CD07CB"/>
    <w:rsid w:val="00CD196A"/>
    <w:rsid w:val="00CD4533"/>
    <w:rsid w:val="00CE42D7"/>
    <w:rsid w:val="00CF761F"/>
    <w:rsid w:val="00D23058"/>
    <w:rsid w:val="00D247AA"/>
    <w:rsid w:val="00D32F45"/>
    <w:rsid w:val="00D43150"/>
    <w:rsid w:val="00D46707"/>
    <w:rsid w:val="00D5091B"/>
    <w:rsid w:val="00D537B1"/>
    <w:rsid w:val="00D54123"/>
    <w:rsid w:val="00D6207D"/>
    <w:rsid w:val="00D663F8"/>
    <w:rsid w:val="00D66A81"/>
    <w:rsid w:val="00D75ED6"/>
    <w:rsid w:val="00D90C09"/>
    <w:rsid w:val="00D92227"/>
    <w:rsid w:val="00DA0B45"/>
    <w:rsid w:val="00DC53AA"/>
    <w:rsid w:val="00DD10C1"/>
    <w:rsid w:val="00DD51E7"/>
    <w:rsid w:val="00DE22BB"/>
    <w:rsid w:val="00DF023F"/>
    <w:rsid w:val="00DF1366"/>
    <w:rsid w:val="00DF4B1B"/>
    <w:rsid w:val="00E0120D"/>
    <w:rsid w:val="00E02142"/>
    <w:rsid w:val="00E050CE"/>
    <w:rsid w:val="00E366FE"/>
    <w:rsid w:val="00E37515"/>
    <w:rsid w:val="00E43DB2"/>
    <w:rsid w:val="00E46D60"/>
    <w:rsid w:val="00E51C77"/>
    <w:rsid w:val="00E52609"/>
    <w:rsid w:val="00E54D95"/>
    <w:rsid w:val="00E55983"/>
    <w:rsid w:val="00E61FCE"/>
    <w:rsid w:val="00E62191"/>
    <w:rsid w:val="00E64BC2"/>
    <w:rsid w:val="00E65FFB"/>
    <w:rsid w:val="00E85426"/>
    <w:rsid w:val="00E90C24"/>
    <w:rsid w:val="00E90F4D"/>
    <w:rsid w:val="00E9402C"/>
    <w:rsid w:val="00EA018D"/>
    <w:rsid w:val="00EA337A"/>
    <w:rsid w:val="00EA43F8"/>
    <w:rsid w:val="00EB12F0"/>
    <w:rsid w:val="00EB25C2"/>
    <w:rsid w:val="00EC0FDD"/>
    <w:rsid w:val="00EC36E1"/>
    <w:rsid w:val="00ED08EF"/>
    <w:rsid w:val="00ED0F44"/>
    <w:rsid w:val="00ED2898"/>
    <w:rsid w:val="00ED3E6D"/>
    <w:rsid w:val="00EE3376"/>
    <w:rsid w:val="00EF5771"/>
    <w:rsid w:val="00EF7C76"/>
    <w:rsid w:val="00F02663"/>
    <w:rsid w:val="00F03F1A"/>
    <w:rsid w:val="00F11F65"/>
    <w:rsid w:val="00F12467"/>
    <w:rsid w:val="00F12A11"/>
    <w:rsid w:val="00F2144E"/>
    <w:rsid w:val="00F23C83"/>
    <w:rsid w:val="00F34CA9"/>
    <w:rsid w:val="00F44086"/>
    <w:rsid w:val="00F50547"/>
    <w:rsid w:val="00F516A4"/>
    <w:rsid w:val="00F75B46"/>
    <w:rsid w:val="00F75F27"/>
    <w:rsid w:val="00F76A88"/>
    <w:rsid w:val="00F8164F"/>
    <w:rsid w:val="00F8294A"/>
    <w:rsid w:val="00F830F9"/>
    <w:rsid w:val="00F8578A"/>
    <w:rsid w:val="00F85B22"/>
    <w:rsid w:val="00F85E3F"/>
    <w:rsid w:val="00F91A33"/>
    <w:rsid w:val="00F91DCA"/>
    <w:rsid w:val="00F955AD"/>
    <w:rsid w:val="00FA051E"/>
    <w:rsid w:val="00FA60CC"/>
    <w:rsid w:val="00FA6244"/>
    <w:rsid w:val="00FA6D2E"/>
    <w:rsid w:val="00FB0706"/>
    <w:rsid w:val="00FB1DE8"/>
    <w:rsid w:val="00FB5238"/>
    <w:rsid w:val="00FB59B0"/>
    <w:rsid w:val="00FB60F8"/>
    <w:rsid w:val="00FB6255"/>
    <w:rsid w:val="00FC58CF"/>
    <w:rsid w:val="00FC724D"/>
    <w:rsid w:val="00FC775F"/>
    <w:rsid w:val="00FD21D9"/>
    <w:rsid w:val="00FD5FE9"/>
    <w:rsid w:val="00FE0AB8"/>
    <w:rsid w:val="00FE1BB4"/>
    <w:rsid w:val="00FE2447"/>
    <w:rsid w:val="00FE6B50"/>
    <w:rsid w:val="00FF0D7C"/>
    <w:rsid w:val="00FF39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4B8BBE20"/>
  <w15:docId w15:val="{A05FFDCD-5242-4A89-B7E6-CBB37D48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6378"/>
    <w:pPr>
      <w:spacing w:line="300" w:lineRule="atLeast"/>
      <w:contextualSpacing/>
    </w:pPr>
    <w:rPr>
      <w:color w:val="585849" w:themeColor="text1" w:themeShade="80"/>
      <w:szCs w:val="12"/>
      <w:lang w:eastAsia="nl-NL"/>
    </w:rPr>
  </w:style>
  <w:style w:type="paragraph" w:styleId="Kop1">
    <w:name w:val="heading 1"/>
    <w:basedOn w:val="Standaard"/>
    <w:next w:val="Standaard"/>
    <w:link w:val="Kop1Char"/>
    <w:qFormat/>
    <w:rsid w:val="00C66378"/>
    <w:pPr>
      <w:keepNext/>
      <w:keepLines/>
      <w:numPr>
        <w:numId w:val="31"/>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C66378"/>
    <w:pPr>
      <w:keepNext/>
      <w:keepLines/>
      <w:numPr>
        <w:ilvl w:val="1"/>
        <w:numId w:val="31"/>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C66378"/>
    <w:pPr>
      <w:keepNext/>
      <w:keepLines/>
      <w:numPr>
        <w:ilvl w:val="2"/>
        <w:numId w:val="31"/>
      </w:numPr>
      <w:spacing w:before="200"/>
      <w:outlineLvl w:val="2"/>
    </w:pPr>
    <w:rPr>
      <w:rFonts w:asciiTheme="majorHAnsi" w:eastAsiaTheme="majorEastAsia" w:hAnsiTheme="majorHAnsi" w:cstheme="majorBidi"/>
      <w:b/>
      <w:bCs/>
      <w:sz w:val="22"/>
    </w:rPr>
  </w:style>
  <w:style w:type="paragraph" w:styleId="Kop4">
    <w:name w:val="heading 4"/>
    <w:basedOn w:val="Standaard"/>
    <w:next w:val="Standaard"/>
    <w:link w:val="Kop4Char"/>
    <w:unhideWhenUsed/>
    <w:rsid w:val="00C66378"/>
    <w:pPr>
      <w:keepNext/>
      <w:keepLines/>
      <w:numPr>
        <w:ilvl w:val="3"/>
        <w:numId w:val="31"/>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7E2E9E"/>
    <w:pPr>
      <w:keepNext/>
      <w:keepLines/>
      <w:numPr>
        <w:ilvl w:val="4"/>
        <w:numId w:val="31"/>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7E2E9E"/>
    <w:pPr>
      <w:keepNext/>
      <w:keepLines/>
      <w:numPr>
        <w:ilvl w:val="5"/>
        <w:numId w:val="31"/>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7E2E9E"/>
    <w:pPr>
      <w:keepNext/>
      <w:keepLines/>
      <w:numPr>
        <w:ilvl w:val="6"/>
        <w:numId w:val="31"/>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7E2E9E"/>
    <w:pPr>
      <w:keepNext/>
      <w:keepLines/>
      <w:numPr>
        <w:ilvl w:val="7"/>
        <w:numId w:val="31"/>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7E2E9E"/>
    <w:pPr>
      <w:keepNext/>
      <w:keepLines/>
      <w:numPr>
        <w:ilvl w:val="8"/>
        <w:numId w:val="31"/>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link w:val="OpsommingChar"/>
    <w:qFormat/>
    <w:rsid w:val="00EA018D"/>
    <w:pPr>
      <w:numPr>
        <w:numId w:val="26"/>
      </w:numPr>
      <w:tabs>
        <w:tab w:val="left" w:pos="284"/>
      </w:tabs>
    </w:pPr>
  </w:style>
  <w:style w:type="paragraph" w:styleId="Lijstnummering">
    <w:name w:val="List Number"/>
    <w:basedOn w:val="Standaard"/>
    <w:link w:val="LijstnummeringChar"/>
    <w:qFormat/>
    <w:rsid w:val="00EA018D"/>
    <w:pPr>
      <w:numPr>
        <w:numId w:val="24"/>
      </w:numPr>
    </w:pPr>
  </w:style>
  <w:style w:type="paragraph" w:styleId="Koptekst">
    <w:name w:val="header"/>
    <w:basedOn w:val="Standaard"/>
    <w:link w:val="KoptekstChar"/>
    <w:rsid w:val="00206331"/>
    <w:pPr>
      <w:tabs>
        <w:tab w:val="center" w:pos="4536"/>
        <w:tab w:val="right" w:pos="9072"/>
      </w:tabs>
    </w:pPr>
  </w:style>
  <w:style w:type="character" w:customStyle="1" w:styleId="KoptekstChar">
    <w:name w:val="Koptekst Char"/>
    <w:basedOn w:val="Standaardalinea-lettertype"/>
    <w:link w:val="Koptekst"/>
    <w:rsid w:val="00206331"/>
    <w:rPr>
      <w:sz w:val="24"/>
      <w:szCs w:val="24"/>
      <w:lang w:val="nl-NL" w:eastAsia="nl-NL"/>
    </w:rPr>
  </w:style>
  <w:style w:type="paragraph" w:styleId="Ballontekst">
    <w:name w:val="Balloon Text"/>
    <w:basedOn w:val="Standaard"/>
    <w:next w:val="Standaard"/>
    <w:link w:val="BallontekstChar"/>
    <w:rsid w:val="007E2E9E"/>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F76A88"/>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7E2E9E"/>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36E1"/>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qFormat/>
    <w:rsid w:val="007E2E9E"/>
    <w:rPr>
      <w:i/>
      <w:iCs/>
      <w:color w:val="773388" w:themeColor="accent2"/>
    </w:rPr>
  </w:style>
  <w:style w:type="paragraph" w:styleId="Ondertitel">
    <w:name w:val="Subtitle"/>
    <w:basedOn w:val="Standaard"/>
    <w:next w:val="Standaard"/>
    <w:link w:val="OndertitelChar"/>
    <w:qFormat/>
    <w:rsid w:val="007E2E9E"/>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1C6234"/>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F76A88"/>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F76A88"/>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F76A88"/>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F76A88"/>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F76A88"/>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F76A88"/>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F76A88"/>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F76A88"/>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7E2E9E"/>
    <w:rPr>
      <w:i/>
      <w:iCs/>
      <w:color w:val="585849" w:themeColor="text1" w:themeShade="80"/>
    </w:rPr>
  </w:style>
  <w:style w:type="character" w:styleId="Intensievebenadrukking">
    <w:name w:val="Intense Emphasis"/>
    <w:basedOn w:val="Standaardalinea-lettertype"/>
    <w:uiPriority w:val="21"/>
    <w:qFormat/>
    <w:rsid w:val="007E2E9E"/>
    <w:rPr>
      <w:b/>
      <w:bCs/>
      <w:i/>
      <w:iCs/>
      <w:color w:val="CC0077" w:themeColor="accent3"/>
    </w:rPr>
  </w:style>
  <w:style w:type="paragraph" w:styleId="Citaat">
    <w:name w:val="Quote"/>
    <w:basedOn w:val="Standaard"/>
    <w:next w:val="Standaard"/>
    <w:link w:val="CitaatChar"/>
    <w:uiPriority w:val="29"/>
    <w:qFormat/>
    <w:rsid w:val="007E2E9E"/>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30"/>
    <w:qFormat/>
    <w:rsid w:val="007E2E9E"/>
    <w:pPr>
      <w:pBdr>
        <w:bottom w:val="single" w:sz="4" w:space="4" w:color="CC0077" w:themeColor="accent3"/>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30"/>
    <w:rsid w:val="001C6234"/>
    <w:rPr>
      <w:b/>
      <w:bCs/>
      <w:i/>
      <w:iCs/>
      <w:color w:val="CC0077" w:themeColor="accent3"/>
      <w:sz w:val="20"/>
      <w:szCs w:val="12"/>
      <w:lang w:eastAsia="nl-NL"/>
    </w:rPr>
  </w:style>
  <w:style w:type="character" w:styleId="Subtieleverwijzing">
    <w:name w:val="Subtle Reference"/>
    <w:basedOn w:val="Standaardalinea-lettertype"/>
    <w:uiPriority w:val="31"/>
    <w:qFormat/>
    <w:rsid w:val="007E2E9E"/>
    <w:rPr>
      <w:smallCaps/>
      <w:color w:val="773388" w:themeColor="accent2"/>
      <w:u w:val="single"/>
    </w:rPr>
  </w:style>
  <w:style w:type="character" w:styleId="Intensieveverwijzing">
    <w:name w:val="Intense Reference"/>
    <w:basedOn w:val="Standaardalinea-lettertype"/>
    <w:uiPriority w:val="32"/>
    <w:qFormat/>
    <w:rsid w:val="007E2E9E"/>
    <w:rPr>
      <w:b/>
      <w:bCs/>
      <w:smallCaps/>
      <w:color w:val="773388" w:themeColor="accent2"/>
      <w:spacing w:val="5"/>
      <w:u w:val="single"/>
    </w:rPr>
  </w:style>
  <w:style w:type="paragraph" w:customStyle="1" w:styleId="Postadres">
    <w:name w:val="Postadres"/>
    <w:basedOn w:val="Standaard"/>
    <w:link w:val="PostadresChar"/>
    <w:rsid w:val="007E2E9E"/>
    <w:pPr>
      <w:spacing w:line="240" w:lineRule="atLeast"/>
    </w:pPr>
  </w:style>
  <w:style w:type="paragraph" w:customStyle="1" w:styleId="Bijtitel">
    <w:name w:val="Bijtitel"/>
    <w:basedOn w:val="Standaard"/>
    <w:next w:val="Standaard"/>
    <w:rsid w:val="002D0A8D"/>
    <w:pPr>
      <w:keepNext/>
      <w:keepLines/>
      <w:tabs>
        <w:tab w:val="left" w:pos="6577"/>
      </w:tabs>
      <w:spacing w:after="600" w:line="240" w:lineRule="atLeast"/>
      <w:outlineLvl w:val="0"/>
    </w:pPr>
    <w:rPr>
      <w:rFonts w:ascii="Arial Narrow" w:hAnsi="Arial Narrow"/>
      <w:spacing w:val="6"/>
      <w:sz w:val="24"/>
      <w:szCs w:val="20"/>
      <w:lang w:eastAsia="nl-BE"/>
    </w:r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customStyle="1" w:styleId="LijstnummeringChar">
    <w:name w:val="Lijstnummering Char"/>
    <w:basedOn w:val="Standaardalinea-lettertype"/>
    <w:link w:val="Lijstnummering"/>
    <w:rsid w:val="00A95E1B"/>
    <w:rPr>
      <w:color w:val="585849" w:themeColor="text1" w:themeShade="80"/>
      <w:szCs w:val="12"/>
      <w:lang w:eastAsia="nl-NL"/>
    </w:r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7E2E9E"/>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rsid w:val="007E2E9E"/>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7E2E9E"/>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A95E1B"/>
    <w:rPr>
      <w:color w:val="585849" w:themeColor="text1" w:themeShade="80"/>
      <w:szCs w:val="12"/>
      <w:lang w:eastAsia="nl-NL"/>
    </w:rPr>
  </w:style>
  <w:style w:type="paragraph" w:styleId="Lijstopsomteken">
    <w:name w:val="List Bullet"/>
    <w:basedOn w:val="Standaard"/>
    <w:rsid w:val="00EA018D"/>
    <w:pPr>
      <w:numPr>
        <w:numId w:val="23"/>
      </w:numPr>
    </w:pPr>
  </w:style>
  <w:style w:type="numbering" w:customStyle="1" w:styleId="nummering-">
    <w:name w:val="nummering-"/>
    <w:basedOn w:val="Geenlijst"/>
    <w:rsid w:val="00EA018D"/>
    <w:pPr>
      <w:numPr>
        <w:numId w:val="25"/>
      </w:numPr>
    </w:pPr>
  </w:style>
  <w:style w:type="numbering" w:customStyle="1" w:styleId="Opsomming-">
    <w:name w:val="Opsomming-"/>
    <w:basedOn w:val="Geenlijst"/>
    <w:rsid w:val="00EA018D"/>
    <w:pPr>
      <w:numPr>
        <w:numId w:val="27"/>
      </w:numPr>
    </w:pPr>
  </w:style>
  <w:style w:type="paragraph" w:styleId="Voettekst">
    <w:name w:val="footer"/>
    <w:basedOn w:val="Standaard"/>
    <w:link w:val="VoettekstChar"/>
    <w:rsid w:val="00F50547"/>
    <w:pPr>
      <w:tabs>
        <w:tab w:val="center" w:pos="4536"/>
        <w:tab w:val="right" w:pos="9072"/>
      </w:tabs>
      <w:spacing w:line="240" w:lineRule="auto"/>
    </w:pPr>
  </w:style>
  <w:style w:type="character" w:customStyle="1" w:styleId="VoettekstChar">
    <w:name w:val="Voettekst Char"/>
    <w:basedOn w:val="Standaardalinea-lettertype"/>
    <w:link w:val="Voettekst"/>
    <w:rsid w:val="00F50547"/>
    <w:rPr>
      <w:color w:val="585849" w:themeColor="text1" w:themeShade="80"/>
      <w:szCs w:val="12"/>
      <w:lang w:eastAsia="nl-NL"/>
    </w:rPr>
  </w:style>
  <w:style w:type="paragraph" w:styleId="Voetnoottekst">
    <w:name w:val="footnote text"/>
    <w:basedOn w:val="Standaard"/>
    <w:link w:val="VoetnoottekstChar"/>
    <w:unhideWhenUsed/>
    <w:rsid w:val="00170CA5"/>
    <w:pPr>
      <w:spacing w:line="240" w:lineRule="auto"/>
    </w:pPr>
    <w:rPr>
      <w:szCs w:val="20"/>
    </w:rPr>
  </w:style>
  <w:style w:type="character" w:customStyle="1" w:styleId="VoetnoottekstChar">
    <w:name w:val="Voetnoottekst Char"/>
    <w:basedOn w:val="Standaardalinea-lettertype"/>
    <w:link w:val="Voetnoottekst"/>
    <w:rsid w:val="00170CA5"/>
    <w:rPr>
      <w:color w:val="585849" w:themeColor="text1" w:themeShade="80"/>
      <w:lang w:eastAsia="nl-NL"/>
    </w:rPr>
  </w:style>
  <w:style w:type="character" w:styleId="Voetnootmarkering">
    <w:name w:val="footnote reference"/>
    <w:basedOn w:val="Standaardalinea-lettertype"/>
    <w:unhideWhenUsed/>
    <w:rsid w:val="00170CA5"/>
    <w:rPr>
      <w:vertAlign w:val="superscript"/>
    </w:rPr>
  </w:style>
  <w:style w:type="character" w:styleId="Verwijzingopmerking">
    <w:name w:val="annotation reference"/>
    <w:rsid w:val="00E51C77"/>
    <w:rPr>
      <w:sz w:val="16"/>
      <w:szCs w:val="16"/>
    </w:rPr>
  </w:style>
  <w:style w:type="paragraph" w:styleId="Tekstopmerking">
    <w:name w:val="annotation text"/>
    <w:basedOn w:val="Standaard"/>
    <w:link w:val="TekstopmerkingChar"/>
    <w:rsid w:val="00E51C77"/>
    <w:pPr>
      <w:spacing w:line="240" w:lineRule="auto"/>
      <w:contextualSpacing w:val="0"/>
    </w:pPr>
    <w:rPr>
      <w:rFonts w:ascii="Arial Narrow" w:hAnsi="Arial Narrow"/>
      <w:color w:val="auto"/>
      <w:szCs w:val="20"/>
      <w:lang w:val="x-none" w:eastAsia="x-none"/>
    </w:rPr>
  </w:style>
  <w:style w:type="character" w:customStyle="1" w:styleId="TekstopmerkingChar">
    <w:name w:val="Tekst opmerking Char"/>
    <w:basedOn w:val="Standaardalinea-lettertype"/>
    <w:link w:val="Tekstopmerking"/>
    <w:rsid w:val="00E51C77"/>
    <w:rPr>
      <w:rFonts w:ascii="Arial Narrow" w:hAnsi="Arial Narrow"/>
      <w:lang w:val="x-none" w:eastAsia="x-none"/>
    </w:rPr>
  </w:style>
  <w:style w:type="paragraph" w:styleId="Onderwerpvanopmerking">
    <w:name w:val="annotation subject"/>
    <w:basedOn w:val="Tekstopmerking"/>
    <w:next w:val="Tekstopmerking"/>
    <w:link w:val="OnderwerpvanopmerkingChar"/>
    <w:semiHidden/>
    <w:unhideWhenUsed/>
    <w:rsid w:val="007B28A6"/>
    <w:pPr>
      <w:contextualSpacing/>
    </w:pPr>
    <w:rPr>
      <w:rFonts w:ascii="Arial" w:hAnsi="Arial"/>
      <w:b/>
      <w:bCs/>
      <w:color w:val="585849" w:themeColor="text1" w:themeShade="80"/>
      <w:lang w:val="nl-BE" w:eastAsia="nl-NL"/>
    </w:rPr>
  </w:style>
  <w:style w:type="character" w:customStyle="1" w:styleId="OnderwerpvanopmerkingChar">
    <w:name w:val="Onderwerp van opmerking Char"/>
    <w:basedOn w:val="TekstopmerkingChar"/>
    <w:link w:val="Onderwerpvanopmerking"/>
    <w:semiHidden/>
    <w:rsid w:val="007B28A6"/>
    <w:rPr>
      <w:rFonts w:ascii="Arial Narrow" w:hAnsi="Arial Narrow"/>
      <w:b/>
      <w:bCs/>
      <w:color w:val="585849" w:themeColor="text1" w:themeShade="80"/>
      <w:lang w:val="x-none" w:eastAsia="nl-NL"/>
    </w:rPr>
  </w:style>
  <w:style w:type="character" w:styleId="Onopgelostemelding">
    <w:name w:val="Unresolved Mention"/>
    <w:basedOn w:val="Standaardalinea-lettertype"/>
    <w:uiPriority w:val="99"/>
    <w:semiHidden/>
    <w:unhideWhenUsed/>
    <w:rsid w:val="00C77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41225">
      <w:bodyDiv w:val="1"/>
      <w:marLeft w:val="0"/>
      <w:marRight w:val="0"/>
      <w:marTop w:val="0"/>
      <w:marBottom w:val="0"/>
      <w:divBdr>
        <w:top w:val="none" w:sz="0" w:space="0" w:color="auto"/>
        <w:left w:val="none" w:sz="0" w:space="0" w:color="auto"/>
        <w:bottom w:val="none" w:sz="0" w:space="0" w:color="auto"/>
        <w:right w:val="none" w:sz="0" w:space="0" w:color="auto"/>
      </w:divBdr>
    </w:div>
    <w:div w:id="1378579401">
      <w:bodyDiv w:val="1"/>
      <w:marLeft w:val="0"/>
      <w:marRight w:val="0"/>
      <w:marTop w:val="0"/>
      <w:marBottom w:val="0"/>
      <w:divBdr>
        <w:top w:val="none" w:sz="0" w:space="0" w:color="auto"/>
        <w:left w:val="none" w:sz="0" w:space="0" w:color="auto"/>
        <w:bottom w:val="none" w:sz="0" w:space="0" w:color="auto"/>
        <w:right w:val="none" w:sz="0" w:space="0" w:color="auto"/>
      </w:divBdr>
    </w:div>
    <w:div w:id="1452900125">
      <w:bodyDiv w:val="1"/>
      <w:marLeft w:val="0"/>
      <w:marRight w:val="0"/>
      <w:marTop w:val="0"/>
      <w:marBottom w:val="0"/>
      <w:divBdr>
        <w:top w:val="none" w:sz="0" w:space="0" w:color="auto"/>
        <w:left w:val="none" w:sz="0" w:space="0" w:color="auto"/>
        <w:bottom w:val="none" w:sz="0" w:space="0" w:color="auto"/>
        <w:right w:val="none" w:sz="0" w:space="0" w:color="auto"/>
      </w:divBdr>
    </w:div>
    <w:div w:id="153808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vvsg.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29B2055421804497BD10025B6515DB" ma:contentTypeVersion="22" ma:contentTypeDescription="Een nieuw document maken." ma:contentTypeScope="" ma:versionID="cacf53b4322582224b4176f01dacd282">
  <xsd:schema xmlns:xsd="http://www.w3.org/2001/XMLSchema" xmlns:xs="http://www.w3.org/2001/XMLSchema" xmlns:p="http://schemas.microsoft.com/office/2006/metadata/properties" xmlns:ns2="a212a750-b772-4cbb-90af-0616f1768c61" xmlns:ns3="dae07d31-9f43-460c-a585-427363be3ad1" targetNamespace="http://schemas.microsoft.com/office/2006/metadata/properties" ma:root="true" ma:fieldsID="27131b5efa59a63de1d3398a7a5ec988" ns2:_="" ns3:_="">
    <xsd:import namespace="a212a750-b772-4cbb-90af-0616f1768c61"/>
    <xsd:import namespace="dae07d31-9f43-460c-a585-427363be3ad1"/>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2a750-b772-4cbb-90af-0616f1768c6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false">
      <xsd:simpleType>
        <xsd:restriction base="dms:Text"/>
      </xsd:simpleType>
    </xsd:element>
    <xsd:element name="_dlc_DocIdUrl" ma:index="9" nillable="true" ma:displayName="Document-id" ma:description="Permanente koppeling naar dit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7d31-9f43-460c-a585-427363be3ad1"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4442fe2c-0486-4e44-8c6c-cac5bf74b3b7}" ma:internalName="TaxCatchAll" ma:showField="CatchAllData" ma:web="dae07d31-9f43-460c-a585-427363be3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a212a750-b772-4cbb-90af-0616f1768c61">VVSG-153-36929</_dlc_DocId>
    <_dlc_DocIdUrl xmlns="a212a750-b772-4cbb-90af-0616f1768c61">
      <Url>https://intranet.vvsg.be/werkingorganisatie/_layouts/15/DocIdRedir.aspx?ID=VVSG-153-36929</Url>
      <Description>VVSG-153-36929</Description>
    </_dlc_DocIdUrl>
    <_dlc_DocIdPersistId xmlns="a212a750-b772-4cbb-90af-0616f1768c61" xsi:nil="true"/>
    <TaxCatchAll xmlns="dae07d31-9f43-460c-a585-427363be3ad1" xsi:nil="true"/>
    <lcf76f155ced4ddcb4097134ff3c332f xmlns="a212a750-b772-4cbb-90af-0616f1768c6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E6AB6-DAE3-4E56-ADAE-B74C387D8427}">
  <ds:schemaRefs>
    <ds:schemaRef ds:uri="http://schemas.openxmlformats.org/officeDocument/2006/bibliography"/>
  </ds:schemaRefs>
</ds:datastoreItem>
</file>

<file path=customXml/itemProps2.xml><?xml version="1.0" encoding="utf-8"?>
<ds:datastoreItem xmlns:ds="http://schemas.openxmlformats.org/officeDocument/2006/customXml" ds:itemID="{CE32C09B-779F-4437-8BF5-FF8383667A0B}"/>
</file>

<file path=customXml/itemProps3.xml><?xml version="1.0" encoding="utf-8"?>
<ds:datastoreItem xmlns:ds="http://schemas.openxmlformats.org/officeDocument/2006/customXml" ds:itemID="{1EC438C7-434D-40CC-8FEA-25B46B681A4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169c7df-b82e-40b0-ad97-8b693be98d4c"/>
    <ds:schemaRef ds:uri="http://www.w3.org/XML/1998/namespace"/>
    <ds:schemaRef ds:uri="http://purl.org/dc/dcmitype/"/>
    <ds:schemaRef ds:uri="a212a750-b772-4cbb-90af-0616f1768c61"/>
    <ds:schemaRef ds:uri="dae07d31-9f43-460c-a585-427363be3ad1"/>
  </ds:schemaRefs>
</ds:datastoreItem>
</file>

<file path=customXml/itemProps4.xml><?xml version="1.0" encoding="utf-8"?>
<ds:datastoreItem xmlns:ds="http://schemas.openxmlformats.org/officeDocument/2006/customXml" ds:itemID="{39E34C29-BC8A-4B7A-BC66-C158ACFA0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4743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Marijke De Lange</cp:lastModifiedBy>
  <cp:revision>15</cp:revision>
  <dcterms:created xsi:type="dcterms:W3CDTF">2019-02-20T06:44:00Z</dcterms:created>
  <dcterms:modified xsi:type="dcterms:W3CDTF">2025-01-06T10:15:00Z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0x0101002B29B2055421804497BD10025B6515DB</vt:lpwstr>
  </property>
  <property fmtid="{D5CDD505-2E9C-101B-9397-08002B2CF9AE}" pid="3" name="_dlc_DocIdItemGuid">
    <vt:lpwstr>fdda2fab-cfc7-475d-a0df-9d84773c224c</vt:lpwstr>
  </property>
  <property fmtid="{D5CDD505-2E9C-101B-9397-08002B2CF9AE}" pid="4" name="Waarde van de document-id">
    <vt:lpwstr>VVSG-153-36929</vt:lpwstr>
  </property>
  <property fmtid="{D5CDD505-2E9C-101B-9397-08002B2CF9AE}" pid="5" name="Order">
    <vt:r8>3692900</vt:r8>
  </property>
  <property fmtid="{D5CDD505-2E9C-101B-9397-08002B2CF9AE}" pid="6" name="MediaServiceImageTags">
    <vt:lpwstr/>
  </property>
</Properties>
</file>