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C66C" w14:textId="77777777" w:rsidR="00985371" w:rsidRPr="00985371" w:rsidRDefault="00985371" w:rsidP="00985371">
      <w:pPr>
        <w:shd w:val="clear" w:color="auto" w:fill="FFFFFF"/>
        <w:spacing w:before="100" w:beforeAutospacing="1" w:after="100" w:afterAutospacing="1" w:line="240" w:lineRule="auto"/>
        <w:outlineLvl w:val="0"/>
        <w:rPr>
          <w:rFonts w:ascii="Verdana" w:eastAsia="Times New Roman" w:hAnsi="Verdana" w:cs="Times New Roman"/>
          <w:color w:val="777777"/>
          <w:kern w:val="36"/>
          <w:sz w:val="55"/>
          <w:szCs w:val="55"/>
          <w:lang w:eastAsia="nl-BE"/>
        </w:rPr>
      </w:pPr>
      <w:r w:rsidRPr="00985371">
        <w:rPr>
          <w:rFonts w:ascii="Verdana" w:eastAsia="Times New Roman" w:hAnsi="Verdana" w:cs="Times New Roman"/>
          <w:color w:val="777777"/>
          <w:kern w:val="36"/>
          <w:sz w:val="55"/>
          <w:szCs w:val="55"/>
          <w:lang w:eastAsia="nl-BE"/>
        </w:rPr>
        <w:t xml:space="preserve">Mondelinge vraag nr. B309 van de heer </w:t>
      </w:r>
      <w:proofErr w:type="spellStart"/>
      <w:r w:rsidRPr="00985371">
        <w:rPr>
          <w:rFonts w:ascii="Verdana" w:eastAsia="Times New Roman" w:hAnsi="Verdana" w:cs="Times New Roman"/>
          <w:color w:val="777777"/>
          <w:kern w:val="36"/>
          <w:sz w:val="55"/>
          <w:szCs w:val="55"/>
          <w:lang w:eastAsia="nl-BE"/>
        </w:rPr>
        <w:t>Sevenhans</w:t>
      </w:r>
      <w:proofErr w:type="spellEnd"/>
      <w:r w:rsidRPr="00985371">
        <w:rPr>
          <w:rFonts w:ascii="Verdana" w:eastAsia="Times New Roman" w:hAnsi="Verdana" w:cs="Times New Roman"/>
          <w:color w:val="777777"/>
          <w:kern w:val="36"/>
          <w:sz w:val="55"/>
          <w:szCs w:val="55"/>
          <w:lang w:eastAsia="nl-BE"/>
        </w:rPr>
        <w:t xml:space="preserve"> dd. 25.03.2003</w:t>
      </w:r>
    </w:p>
    <w:p w14:paraId="4FB808FB" w14:textId="77777777" w:rsidR="00985371" w:rsidRPr="00985371" w:rsidRDefault="00985371" w:rsidP="00985371">
      <w:pPr>
        <w:spacing w:after="0" w:line="240" w:lineRule="auto"/>
        <w:rPr>
          <w:rFonts w:ascii="Times New Roman" w:eastAsia="Times New Roman" w:hAnsi="Times New Roman" w:cs="Times New Roman"/>
          <w:sz w:val="24"/>
          <w:szCs w:val="24"/>
          <w:lang w:eastAsia="nl-BE"/>
        </w:rPr>
      </w:pPr>
      <w:r w:rsidRPr="00985371">
        <w:rPr>
          <w:rFonts w:ascii="Verdana" w:eastAsia="Times New Roman" w:hAnsi="Verdana" w:cs="Times New Roman"/>
          <w:color w:val="444444"/>
          <w:sz w:val="20"/>
          <w:szCs w:val="20"/>
          <w:lang w:eastAsia="nl-BE"/>
        </w:rPr>
        <w:br/>
      </w:r>
    </w:p>
    <w:p w14:paraId="623D66AA"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bookmarkStart w:id="0" w:name="ba0cfc2d-bcb2-45cb-be6d-1b595bdad310"/>
      <w:r w:rsidRPr="00985371">
        <w:rPr>
          <w:rFonts w:ascii="Verdana" w:eastAsia="Times New Roman" w:hAnsi="Verdana" w:cs="Times New Roman"/>
          <w:b/>
          <w:bCs/>
          <w:color w:val="0072C6"/>
          <w:sz w:val="20"/>
          <w:szCs w:val="20"/>
          <w:lang w:eastAsia="nl-BE"/>
        </w:rPr>
        <w:t>VRAAG 03/B309</w:t>
      </w:r>
      <w:bookmarkEnd w:id="0"/>
      <w:r w:rsidRPr="00985371">
        <w:rPr>
          <w:rFonts w:ascii="Verdana" w:eastAsia="Times New Roman" w:hAnsi="Verdana" w:cs="Times New Roman"/>
          <w:color w:val="444444"/>
          <w:sz w:val="20"/>
          <w:szCs w:val="20"/>
          <w:lang w:eastAsia="nl-BE"/>
        </w:rPr>
        <w:t> </w:t>
      </w:r>
    </w:p>
    <w:p w14:paraId="68986DA8"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b/>
          <w:bCs/>
          <w:color w:val="444444"/>
          <w:sz w:val="20"/>
          <w:szCs w:val="20"/>
          <w:lang w:eastAsia="nl-BE"/>
        </w:rPr>
        <w:t xml:space="preserve">Mondelinge vraag nr. B309 van de heer </w:t>
      </w:r>
      <w:proofErr w:type="spellStart"/>
      <w:r w:rsidRPr="00985371">
        <w:rPr>
          <w:rFonts w:ascii="Verdana" w:eastAsia="Times New Roman" w:hAnsi="Verdana" w:cs="Times New Roman"/>
          <w:b/>
          <w:bCs/>
          <w:color w:val="444444"/>
          <w:sz w:val="20"/>
          <w:szCs w:val="20"/>
          <w:lang w:eastAsia="nl-BE"/>
        </w:rPr>
        <w:t>Sevenhans</w:t>
      </w:r>
      <w:proofErr w:type="spellEnd"/>
      <w:r w:rsidRPr="00985371">
        <w:rPr>
          <w:rFonts w:ascii="Verdana" w:eastAsia="Times New Roman" w:hAnsi="Verdana" w:cs="Times New Roman"/>
          <w:b/>
          <w:bCs/>
          <w:color w:val="444444"/>
          <w:sz w:val="20"/>
          <w:szCs w:val="20"/>
          <w:lang w:eastAsia="nl-BE"/>
        </w:rPr>
        <w:t xml:space="preserve"> dd. 25.03.2003</w:t>
      </w:r>
      <w:r w:rsidRPr="00985371">
        <w:rPr>
          <w:rFonts w:ascii="Verdana" w:eastAsia="Times New Roman" w:hAnsi="Verdana" w:cs="Times New Roman"/>
          <w:b/>
          <w:bCs/>
          <w:color w:val="444444"/>
          <w:sz w:val="20"/>
          <w:szCs w:val="20"/>
          <w:lang w:eastAsia="nl-BE"/>
        </w:rPr>
        <w:br/>
      </w:r>
    </w:p>
    <w:p w14:paraId="3AB3C76F"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b/>
          <w:bCs/>
          <w:color w:val="444444"/>
          <w:sz w:val="20"/>
          <w:szCs w:val="20"/>
          <w:lang w:eastAsia="nl-BE"/>
        </w:rPr>
        <w:t>Beknopt Verslag, Kamercommissie Financiën, Com 1030, blz. 11</w:t>
      </w:r>
      <w:r w:rsidRPr="00985371">
        <w:rPr>
          <w:rFonts w:ascii="Verdana" w:eastAsia="Times New Roman" w:hAnsi="Verdana" w:cs="Times New Roman"/>
          <w:color w:val="444444"/>
          <w:sz w:val="20"/>
          <w:szCs w:val="20"/>
          <w:lang w:eastAsia="nl-BE"/>
        </w:rPr>
        <w:t> </w:t>
      </w:r>
    </w:p>
    <w:p w14:paraId="1DF6BB67"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i/>
          <w:iCs/>
          <w:color w:val="444444"/>
          <w:sz w:val="20"/>
          <w:szCs w:val="20"/>
          <w:lang w:eastAsia="nl-BE"/>
        </w:rPr>
        <w:t>Eigen kosten van de werkgever - Bijzonder kostenforfait - Burgemeesters en schepenen</w:t>
      </w:r>
      <w:r w:rsidRPr="00985371">
        <w:rPr>
          <w:rFonts w:ascii="Verdana" w:eastAsia="Times New Roman" w:hAnsi="Verdana" w:cs="Times New Roman"/>
          <w:color w:val="444444"/>
          <w:sz w:val="20"/>
          <w:szCs w:val="20"/>
          <w:lang w:eastAsia="nl-BE"/>
        </w:rPr>
        <w:t> </w:t>
      </w:r>
      <w:r w:rsidRPr="00985371">
        <w:rPr>
          <w:rFonts w:ascii="Verdana" w:eastAsia="Times New Roman" w:hAnsi="Verdana" w:cs="Times New Roman"/>
          <w:color w:val="444444"/>
          <w:sz w:val="20"/>
          <w:szCs w:val="20"/>
          <w:lang w:eastAsia="nl-BE"/>
        </w:rPr>
        <w:br/>
      </w:r>
      <w:r w:rsidRPr="00985371">
        <w:rPr>
          <w:rFonts w:ascii="Verdana" w:eastAsia="Times New Roman" w:hAnsi="Verdana" w:cs="Times New Roman"/>
          <w:color w:val="444444"/>
          <w:sz w:val="20"/>
          <w:szCs w:val="20"/>
          <w:lang w:eastAsia="nl-BE"/>
        </w:rPr>
        <w:br/>
        <w:t>VRAAG </w:t>
      </w:r>
    </w:p>
    <w:p w14:paraId="1D801C3C"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    Burgemeesters, schepenen en OCMW-voorzitters mogen zonder rechtvaardiging een forfaitair bedrag aan beroepskosten aftrekken. De aftrek bedraagt voor een burgemeester 5.142,15 euro en voor een schepen of OCMW-voorzitter 3.085,28 euro. Deze bijzondere forfait stemt overeen met 30 procent van de geïndexeerde jaarlijkse bezoldiging van een burgemeester, schepen of OCMW-voorzitter van een gemeente met maximum driehonderd inwoners. Het dekt in principe de extra kosten bij de uitoefening van het ambt. Voor parlementsleden bestaan er duidelijke richtlijnen betreffende de beroepskosten, maar voor burgemeesters en schepenen blijkbaar niet. </w:t>
      </w:r>
    </w:p>
    <w:p w14:paraId="56C7FE04"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    Welke concrete maatregelen kan de minister treffen wanneer er ernstige misbruiken worden vastgesteld? Wordt de administratie van de Ondernemings- en Inkomensfiscaliteit of de BBI ingeschakeld? </w:t>
      </w:r>
    </w:p>
    <w:p w14:paraId="5168BF96"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ANTWOORD (van de heer Reynders, Minister van Financiën) </w:t>
      </w:r>
    </w:p>
    <w:p w14:paraId="3A8AB90E"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    Overeenkomstig artikel 31 van het Wetboek van de inkomstenbelastingen zijn de terugbetalingen van de eigen kosten van de werkgever geen belastbare bezoldigingen van werknemers. </w:t>
      </w:r>
    </w:p>
    <w:p w14:paraId="76EA2693"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    Om te worden aangemerkt als eigen kosten van de werkgever, moet de werkgever een dubbel bewijs leveren van het feit dat de vergoeding bestemd is voor het dekken van kosten die hem eigen zijn en dat zij daadwerkelijk aan dergelijke kosten is besteed. </w:t>
      </w:r>
    </w:p>
    <w:p w14:paraId="0FD6C31A"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    De teruggave van de kosten van burgemeesters, schepenen, en OCMW-voorzitters moet van de bijzondere kostenforfait worden afgetrokken. </w:t>
      </w:r>
    </w:p>
    <w:p w14:paraId="3D076CED"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    De centrale diensten van de administratie van de Ondernemings- en Inkomensfiscaliteit hebben de taxatiedienst in Antwerpen verzocht deze zaken te onderzoeken. Als er ernstige of georganiseerde fraude wordt vastgesteld, kan de BBI worden ingeschakeld. </w:t>
      </w:r>
    </w:p>
    <w:p w14:paraId="60EA8794" w14:textId="77777777" w:rsidR="00985371" w:rsidRPr="00985371" w:rsidRDefault="00985371" w:rsidP="00985371">
      <w:pPr>
        <w:shd w:val="clear" w:color="auto" w:fill="FFFFFF"/>
        <w:spacing w:after="24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 xml:space="preserve">CONCLUSIE (van de heer </w:t>
      </w:r>
      <w:proofErr w:type="spellStart"/>
      <w:r w:rsidRPr="00985371">
        <w:rPr>
          <w:rFonts w:ascii="Verdana" w:eastAsia="Times New Roman" w:hAnsi="Verdana" w:cs="Times New Roman"/>
          <w:color w:val="444444"/>
          <w:sz w:val="20"/>
          <w:szCs w:val="20"/>
          <w:lang w:eastAsia="nl-BE"/>
        </w:rPr>
        <w:t>Sevenhans</w:t>
      </w:r>
      <w:proofErr w:type="spellEnd"/>
      <w:r w:rsidRPr="00985371">
        <w:rPr>
          <w:rFonts w:ascii="Verdana" w:eastAsia="Times New Roman" w:hAnsi="Verdana" w:cs="Times New Roman"/>
          <w:color w:val="444444"/>
          <w:sz w:val="20"/>
          <w:szCs w:val="20"/>
          <w:lang w:eastAsia="nl-BE"/>
        </w:rPr>
        <w:t>) </w:t>
      </w:r>
    </w:p>
    <w:p w14:paraId="20601D8C" w14:textId="77777777" w:rsidR="005677CE" w:rsidRPr="00985371" w:rsidRDefault="00985371" w:rsidP="00985371">
      <w:pPr>
        <w:shd w:val="clear" w:color="auto" w:fill="FFFFFF"/>
        <w:spacing w:after="0" w:line="240" w:lineRule="auto"/>
        <w:rPr>
          <w:rFonts w:ascii="Verdana" w:eastAsia="Times New Roman" w:hAnsi="Verdana" w:cs="Times New Roman"/>
          <w:color w:val="444444"/>
          <w:sz w:val="20"/>
          <w:szCs w:val="20"/>
          <w:lang w:eastAsia="nl-BE"/>
        </w:rPr>
      </w:pPr>
      <w:r w:rsidRPr="00985371">
        <w:rPr>
          <w:rFonts w:ascii="Verdana" w:eastAsia="Times New Roman" w:hAnsi="Verdana" w:cs="Times New Roman"/>
          <w:color w:val="444444"/>
          <w:sz w:val="20"/>
          <w:szCs w:val="20"/>
          <w:lang w:eastAsia="nl-BE"/>
        </w:rPr>
        <w:t>    Een duidelijk richtlijn dringt zich op. Het is goed dat dit soort zaken blijkbaar automatisch wordt onderzocht.     </w:t>
      </w:r>
      <w:bookmarkStart w:id="1" w:name="_GoBack"/>
      <w:bookmarkEnd w:id="1"/>
    </w:p>
    <w:sectPr w:rsidR="005677CE" w:rsidRPr="009853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71"/>
    <w:rsid w:val="005677CE"/>
    <w:rsid w:val="009853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0F07"/>
  <w15:chartTrackingRefBased/>
  <w15:docId w15:val="{1BEBE9E4-2200-4B86-87EA-87A8F819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853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371"/>
    <w:rPr>
      <w:rFonts w:ascii="Times New Roman" w:eastAsia="Times New Roman" w:hAnsi="Times New Roman" w:cs="Times New Roman"/>
      <w:b/>
      <w:bCs/>
      <w:kern w:val="36"/>
      <w:sz w:val="48"/>
      <w:szCs w:val="4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8577">
      <w:bodyDiv w:val="1"/>
      <w:marLeft w:val="0"/>
      <w:marRight w:val="0"/>
      <w:marTop w:val="0"/>
      <w:marBottom w:val="0"/>
      <w:divBdr>
        <w:top w:val="none" w:sz="0" w:space="0" w:color="auto"/>
        <w:left w:val="none" w:sz="0" w:space="0" w:color="auto"/>
        <w:bottom w:val="none" w:sz="0" w:space="0" w:color="auto"/>
        <w:right w:val="none" w:sz="0" w:space="0" w:color="auto"/>
      </w:divBdr>
      <w:divsChild>
        <w:div w:id="2138717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6C3A785B61B449D287A51321B099D" ma:contentTypeVersion="3" ma:contentTypeDescription="Een nieuw document maken." ma:contentTypeScope="" ma:versionID="d58e656a3433cd00ceb87a03e911f8e7">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169c7df-b82e-40b0-ad97-8b693be98d4c">VVSG-156-9043</_dlc_DocId>
    <_dlc_DocIdUrl xmlns="9169c7df-b82e-40b0-ad97-8b693be98d4c">
      <Url>https://intranet.vvsg.be/bestuur/_layouts/15/DocIdRedir.aspx?ID=VVSG-156-9043</Url>
      <Description>VVSG-156-9043</Description>
    </_dlc_DocIdUrl>
  </documentManagement>
</p:properties>
</file>

<file path=customXml/itemProps1.xml><?xml version="1.0" encoding="utf-8"?>
<ds:datastoreItem xmlns:ds="http://schemas.openxmlformats.org/officeDocument/2006/customXml" ds:itemID="{45C8102C-CC30-44EB-9282-D17E411B8C7F}"/>
</file>

<file path=customXml/itemProps2.xml><?xml version="1.0" encoding="utf-8"?>
<ds:datastoreItem xmlns:ds="http://schemas.openxmlformats.org/officeDocument/2006/customXml" ds:itemID="{AB58E92E-6B2E-4CD9-BBC6-33DE4C985E87}"/>
</file>

<file path=customXml/itemProps3.xml><?xml version="1.0" encoding="utf-8"?>
<ds:datastoreItem xmlns:ds="http://schemas.openxmlformats.org/officeDocument/2006/customXml" ds:itemID="{6833CC11-0C72-4470-B111-D4E9DE1DB97B}"/>
</file>

<file path=customXml/itemProps4.xml><?xml version="1.0" encoding="utf-8"?>
<ds:datastoreItem xmlns:ds="http://schemas.openxmlformats.org/officeDocument/2006/customXml" ds:itemID="{185FE770-0F5D-4E47-87A3-2AE7A451187B}"/>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Jan</dc:creator>
  <cp:keywords/>
  <dc:description/>
  <cp:lastModifiedBy>Leroy Jan</cp:lastModifiedBy>
  <cp:revision>1</cp:revision>
  <dcterms:created xsi:type="dcterms:W3CDTF">2019-04-09T12:05:00Z</dcterms:created>
  <dcterms:modified xsi:type="dcterms:W3CDTF">2019-04-09T12:06:00Z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0x0101006F06C3A785B61B449D287A51321B099D</vt:lpwstr>
  </property>
  <property fmtid="{D5CDD505-2E9C-101B-9397-08002B2CF9AE}" pid="3" name="_dlc_DocIdItemGuid">
    <vt:lpwstr>2e515bf6-a6ca-4e5d-b9f5-f2a7064db31e</vt:lpwstr>
  </property>
</Properties>
</file>