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91EEB" w14:textId="77777777" w:rsidR="003459BF" w:rsidRDefault="00E4349C" w:rsidP="00624CC1">
      <w:pPr>
        <w:pStyle w:val="Titel"/>
      </w:pPr>
      <w:r>
        <w:t xml:space="preserve">Checklist met veranderingen </w:t>
      </w:r>
      <w:r w:rsidR="00323DCF">
        <w:t xml:space="preserve">voor </w:t>
      </w:r>
      <w:r>
        <w:t>OCMW-verenigingen van publiek recht</w:t>
      </w:r>
      <w:r w:rsidR="00323DCF">
        <w:t xml:space="preserve"> na</w:t>
      </w:r>
      <w:r>
        <w:t xml:space="preserve"> inwerkingtreding decreet lokaal bestuur</w:t>
      </w:r>
    </w:p>
    <w:p w14:paraId="3A43DE69" w14:textId="77777777" w:rsidR="00D2309B" w:rsidRDefault="00E4349C" w:rsidP="00D2309B">
      <w:pPr>
        <w:pStyle w:val="Beschrijving"/>
      </w:pPr>
      <w:r>
        <w:t>Pieter Vanderstappen en Emme Vandeginste</w:t>
      </w:r>
    </w:p>
    <w:p w14:paraId="58B82F18" w14:textId="77777777" w:rsidR="00E4349C" w:rsidRDefault="00A541ED" w:rsidP="00E4349C">
      <w:r>
        <w:t xml:space="preserve">Op </w:t>
      </w:r>
      <w:r w:rsidR="00CF43D6">
        <w:t>1 januari 2019</w:t>
      </w:r>
      <w:r w:rsidR="00E4349C">
        <w:t xml:space="preserve"> worden de </w:t>
      </w:r>
      <w:r>
        <w:t xml:space="preserve">meeste </w:t>
      </w:r>
      <w:r w:rsidR="00E4349C">
        <w:t xml:space="preserve">bepalingen van het decreet </w:t>
      </w:r>
      <w:r w:rsidR="00056391">
        <w:t xml:space="preserve">over het </w:t>
      </w:r>
      <w:r w:rsidR="00E4349C">
        <w:t xml:space="preserve">Lokaal Bestuur </w:t>
      </w:r>
      <w:r w:rsidR="00056391">
        <w:t>(</w:t>
      </w:r>
      <w:r>
        <w:t xml:space="preserve">hierna: </w:t>
      </w:r>
      <w:r w:rsidR="00056391">
        <w:t xml:space="preserve">DLB) </w:t>
      </w:r>
      <w:r w:rsidR="00E4349C">
        <w:t xml:space="preserve">van kracht. De VVSG maakte </w:t>
      </w:r>
      <w:r w:rsidR="00FB309C">
        <w:t>een</w:t>
      </w:r>
      <w:r w:rsidR="00E4349C">
        <w:t xml:space="preserve"> ‘checklist’ met belangrijke veranderingen voor OCMW-verenigingen van publiek recht, waarmee </w:t>
      </w:r>
      <w:r w:rsidR="00FB309C">
        <w:t>deze verenigingen</w:t>
      </w:r>
      <w:r w:rsidR="00056391">
        <w:t xml:space="preserve"> </w:t>
      </w:r>
      <w:r w:rsidR="00E4349C">
        <w:t xml:space="preserve">best rekening </w:t>
      </w:r>
      <w:r w:rsidR="00056391">
        <w:t>houden</w:t>
      </w:r>
      <w:r w:rsidR="00E4349C">
        <w:t>.</w:t>
      </w:r>
    </w:p>
    <w:p w14:paraId="2CF39A77" w14:textId="77777777" w:rsidR="002069B9" w:rsidRDefault="002069B9" w:rsidP="00E4349C"/>
    <w:p w14:paraId="3329D047" w14:textId="5650DB22" w:rsidR="002069B9" w:rsidRDefault="00BA72AB" w:rsidP="00E4349C">
      <w:r>
        <w:t xml:space="preserve">We </w:t>
      </w:r>
      <w:r w:rsidR="005027BB">
        <w:t>hadden informeel contact</w:t>
      </w:r>
      <w:r>
        <w:t xml:space="preserve"> </w:t>
      </w:r>
      <w:r w:rsidR="005027BB">
        <w:t xml:space="preserve">met </w:t>
      </w:r>
      <w:r>
        <w:t xml:space="preserve">het Agentschap Binnenlands Bestuur. Hun reactie verwerkten wij in dit overzicht. </w:t>
      </w:r>
    </w:p>
    <w:p w14:paraId="66280D68" w14:textId="77777777" w:rsidR="00C42C7C" w:rsidRDefault="00C42C7C" w:rsidP="00E4349C"/>
    <w:p w14:paraId="299731EA" w14:textId="77777777" w:rsidR="00C42C7C" w:rsidRPr="00380F1B" w:rsidRDefault="00C42C7C" w:rsidP="00C42C7C">
      <w:pPr>
        <w:rPr>
          <w:i/>
        </w:rPr>
      </w:pPr>
      <w:r w:rsidRPr="00D2309B">
        <w:t xml:space="preserve">De </w:t>
      </w:r>
      <w:proofErr w:type="spellStart"/>
      <w:r w:rsidRPr="00D2309B">
        <w:t>OCMW</w:t>
      </w:r>
      <w:r>
        <w:t>’</w:t>
      </w:r>
      <w:r w:rsidRPr="00D2309B">
        <w:t>s</w:t>
      </w:r>
      <w:proofErr w:type="spellEnd"/>
      <w:r w:rsidRPr="00D2309B">
        <w:t xml:space="preserve"> blijven</w:t>
      </w:r>
      <w:r>
        <w:t xml:space="preserve"> als afzonderlijke rechtspersoon</w:t>
      </w:r>
      <w:r w:rsidRPr="00D2309B">
        <w:t xml:space="preserve"> bestaan</w:t>
      </w:r>
      <w:r>
        <w:t>. Z</w:t>
      </w:r>
      <w:r w:rsidRPr="00D2309B">
        <w:t xml:space="preserve">ij kunnen zich verenigen op de wijze die het </w:t>
      </w:r>
      <w:r>
        <w:t xml:space="preserve">DLB </w:t>
      </w:r>
      <w:r w:rsidRPr="00D2309B">
        <w:t>voorziet</w:t>
      </w:r>
      <w:r w:rsidR="003113B6">
        <w:rPr>
          <w:rStyle w:val="Voetnootmarkering"/>
        </w:rPr>
        <w:footnoteReference w:id="1"/>
      </w:r>
      <w:r w:rsidRPr="00D2309B">
        <w:t xml:space="preserve">. </w:t>
      </w:r>
      <w:r>
        <w:t>Opvallend is dat d</w:t>
      </w:r>
      <w:r w:rsidRPr="002D0DA7">
        <w:t>e verschillende verzelfstandig</w:t>
      </w:r>
      <w:r w:rsidR="003113B6">
        <w:t>ing</w:t>
      </w:r>
      <w:r w:rsidRPr="002D0DA7">
        <w:t xml:space="preserve">s- en samenwerkingsmogelijkheden </w:t>
      </w:r>
      <w:r>
        <w:t>uit</w:t>
      </w:r>
      <w:r w:rsidRPr="002D0DA7">
        <w:t xml:space="preserve"> het OCMW-decreet zo goed als volledig overgenomen</w:t>
      </w:r>
      <w:r>
        <w:t xml:space="preserve"> worden</w:t>
      </w:r>
      <w:r w:rsidRPr="002D0DA7">
        <w:t xml:space="preserve">. </w:t>
      </w:r>
      <w:r w:rsidR="00A541ED">
        <w:t>Er is geen sprake van afstemming op de gemeentelijke vormen van verzelfstandiging en samenwerking.</w:t>
      </w:r>
    </w:p>
    <w:p w14:paraId="28629D66" w14:textId="77777777" w:rsidR="00C42C7C" w:rsidRPr="002D0DA7" w:rsidRDefault="00C42C7C" w:rsidP="00C42C7C"/>
    <w:p w14:paraId="6A3D1F27" w14:textId="77777777" w:rsidR="00C42C7C" w:rsidRDefault="00C42C7C" w:rsidP="00C42C7C">
      <w:pPr>
        <w:rPr>
          <w:b/>
        </w:rPr>
      </w:pPr>
      <w:r>
        <w:t xml:space="preserve">Het DLB </w:t>
      </w:r>
      <w:r w:rsidRPr="002D0DA7">
        <w:t xml:space="preserve">spreekt </w:t>
      </w:r>
      <w:r>
        <w:t xml:space="preserve">wel </w:t>
      </w:r>
      <w:r w:rsidRPr="002D0DA7">
        <w:t xml:space="preserve">niet meer van vier </w:t>
      </w:r>
      <w:r>
        <w:t>vormen</w:t>
      </w:r>
      <w:r w:rsidRPr="002D0DA7">
        <w:t xml:space="preserve"> </w:t>
      </w:r>
      <w:r>
        <w:t xml:space="preserve">van </w:t>
      </w:r>
      <w:r w:rsidRPr="002D0DA7">
        <w:t xml:space="preserve">OCMW-verenigingen, maar van </w:t>
      </w:r>
      <w:r w:rsidRPr="002D0DA7">
        <w:rPr>
          <w:b/>
        </w:rPr>
        <w:t>vijf:</w:t>
      </w:r>
    </w:p>
    <w:p w14:paraId="45E117D9" w14:textId="77777777" w:rsidR="00C42C7C" w:rsidRPr="002D0DA7" w:rsidRDefault="00C42C7C" w:rsidP="00C42C7C">
      <w:pPr>
        <w:pStyle w:val="Lijstalinea"/>
        <w:numPr>
          <w:ilvl w:val="0"/>
          <w:numId w:val="37"/>
        </w:numPr>
      </w:pPr>
      <w:r w:rsidRPr="000C7DAF">
        <w:rPr>
          <w:b/>
        </w:rPr>
        <w:t>Twee publiekrechtelijke vormen:</w:t>
      </w:r>
    </w:p>
    <w:p w14:paraId="675CC343" w14:textId="77777777" w:rsidR="00C42C7C" w:rsidRPr="002D0DA7" w:rsidRDefault="00C42C7C" w:rsidP="00C42C7C">
      <w:pPr>
        <w:numPr>
          <w:ilvl w:val="0"/>
          <w:numId w:val="36"/>
        </w:numPr>
        <w:tabs>
          <w:tab w:val="num" w:pos="1440"/>
        </w:tabs>
      </w:pPr>
      <w:r w:rsidRPr="002D0DA7">
        <w:t>Welzijnsvereniging;</w:t>
      </w:r>
    </w:p>
    <w:p w14:paraId="6CBBBC9A" w14:textId="77777777" w:rsidR="00C42C7C" w:rsidRDefault="00C42C7C" w:rsidP="00C42C7C">
      <w:pPr>
        <w:numPr>
          <w:ilvl w:val="0"/>
          <w:numId w:val="36"/>
        </w:numPr>
        <w:tabs>
          <w:tab w:val="num" w:pos="1440"/>
        </w:tabs>
      </w:pPr>
      <w:r>
        <w:t>A</w:t>
      </w:r>
      <w:r w:rsidRPr="002D0DA7">
        <w:t>utonome verzorgingsinstelling;</w:t>
      </w:r>
    </w:p>
    <w:p w14:paraId="793F42EC" w14:textId="77777777" w:rsidR="00C42C7C" w:rsidRPr="000C7DAF" w:rsidRDefault="00C42C7C" w:rsidP="00C42C7C">
      <w:pPr>
        <w:pStyle w:val="Lijstalinea"/>
      </w:pPr>
    </w:p>
    <w:p w14:paraId="0AF755FE" w14:textId="77777777" w:rsidR="00C42C7C" w:rsidRPr="002D0DA7" w:rsidRDefault="00C42C7C" w:rsidP="00C42C7C">
      <w:pPr>
        <w:pStyle w:val="Lijstalinea"/>
        <w:numPr>
          <w:ilvl w:val="0"/>
          <w:numId w:val="37"/>
        </w:numPr>
      </w:pPr>
      <w:r>
        <w:rPr>
          <w:b/>
        </w:rPr>
        <w:t>Drie privaat</w:t>
      </w:r>
      <w:r w:rsidRPr="00C6134C">
        <w:rPr>
          <w:b/>
        </w:rPr>
        <w:t>rechtelijke vormen:</w:t>
      </w:r>
    </w:p>
    <w:p w14:paraId="4DAAA74C" w14:textId="77777777" w:rsidR="00C42C7C" w:rsidRPr="002D0DA7" w:rsidRDefault="00C42C7C" w:rsidP="00C42C7C">
      <w:pPr>
        <w:numPr>
          <w:ilvl w:val="0"/>
          <w:numId w:val="36"/>
        </w:numPr>
        <w:tabs>
          <w:tab w:val="num" w:pos="1440"/>
        </w:tabs>
      </w:pPr>
      <w:r>
        <w:t>Z</w:t>
      </w:r>
      <w:r w:rsidRPr="002D0DA7">
        <w:t xml:space="preserve">iekenhuisvereniging; </w:t>
      </w:r>
    </w:p>
    <w:p w14:paraId="26E0E707" w14:textId="77777777" w:rsidR="00C42C7C" w:rsidRPr="002D0DA7" w:rsidRDefault="00C42C7C" w:rsidP="00C42C7C">
      <w:pPr>
        <w:numPr>
          <w:ilvl w:val="0"/>
          <w:numId w:val="36"/>
        </w:numPr>
        <w:tabs>
          <w:tab w:val="num" w:pos="1440"/>
        </w:tabs>
      </w:pPr>
      <w:r>
        <w:t>V</w:t>
      </w:r>
      <w:r w:rsidRPr="002D0DA7">
        <w:t xml:space="preserve">ereniging voor sociale dienstverlening/vennootschap voor sociale dienstverlening; </w:t>
      </w:r>
    </w:p>
    <w:p w14:paraId="1D0BB7E9" w14:textId="77777777" w:rsidR="00C42C7C" w:rsidRPr="002D0DA7" w:rsidRDefault="00C42C7C" w:rsidP="00C42C7C">
      <w:pPr>
        <w:numPr>
          <w:ilvl w:val="0"/>
          <w:numId w:val="36"/>
        </w:numPr>
        <w:tabs>
          <w:tab w:val="num" w:pos="1440"/>
        </w:tabs>
      </w:pPr>
      <w:r>
        <w:t>W</w:t>
      </w:r>
      <w:r w:rsidRPr="002D0DA7">
        <w:t xml:space="preserve">oon-zorgvereniging/woon-zorgvennootschap </w:t>
      </w:r>
    </w:p>
    <w:p w14:paraId="659B1A3E" w14:textId="77777777" w:rsidR="00C42C7C" w:rsidRPr="002D0DA7" w:rsidRDefault="00C42C7C" w:rsidP="00C42C7C"/>
    <w:p w14:paraId="0A4AA9FF" w14:textId="77777777" w:rsidR="00C42C7C" w:rsidRDefault="00C42C7C" w:rsidP="00C42C7C">
      <w:r w:rsidRPr="002D0DA7">
        <w:t xml:space="preserve">Er lijkt een nieuwe vorm te zijn, maar dat is eigenlijk niet zo. De </w:t>
      </w:r>
      <w:r w:rsidR="003113B6">
        <w:t xml:space="preserve">huidige </w:t>
      </w:r>
      <w:r w:rsidRPr="002D0DA7">
        <w:t>O</w:t>
      </w:r>
      <w:r w:rsidR="003113B6">
        <w:t>CMW-vereniging van publiekrecht</w:t>
      </w:r>
      <w:r w:rsidR="003113B6">
        <w:rPr>
          <w:rStyle w:val="Voetnootmarkering"/>
        </w:rPr>
        <w:footnoteReference w:id="2"/>
      </w:r>
      <w:r w:rsidRPr="002D0DA7">
        <w:t xml:space="preserve"> wordt in het decreet lokaal bestuur opgesplitst in </w:t>
      </w:r>
      <w:r>
        <w:t xml:space="preserve">een </w:t>
      </w:r>
      <w:r w:rsidRPr="002D0DA7">
        <w:t xml:space="preserve">‘Welzijnsvereniging’ en </w:t>
      </w:r>
      <w:r>
        <w:t xml:space="preserve">een </w:t>
      </w:r>
      <w:r w:rsidRPr="002D0DA7">
        <w:t xml:space="preserve">‘Autonome verzorgingsinstelling’ (vereniging voor maatschappelijk welzijn voor het exploiteren van een ziekenhuis of een gedeelte ervan). </w:t>
      </w:r>
    </w:p>
    <w:p w14:paraId="6D685D92" w14:textId="77777777" w:rsidR="00C42C7C" w:rsidRDefault="00C42C7C" w:rsidP="00C42C7C"/>
    <w:p w14:paraId="57DAA43F" w14:textId="77777777" w:rsidR="00C42C7C" w:rsidRDefault="00C42C7C" w:rsidP="00E4349C">
      <w:r>
        <w:t>In deze bijdrage hebben we het enkel over de</w:t>
      </w:r>
      <w:r w:rsidR="00014A14">
        <w:t xml:space="preserve"> </w:t>
      </w:r>
      <w:r w:rsidR="00014A14" w:rsidRPr="00380F1B">
        <w:rPr>
          <w:b/>
        </w:rPr>
        <w:t xml:space="preserve">wijzigingen voor </w:t>
      </w:r>
      <w:r w:rsidR="00014A14">
        <w:rPr>
          <w:b/>
        </w:rPr>
        <w:t>w</w:t>
      </w:r>
      <w:r w:rsidRPr="002D0DA7">
        <w:rPr>
          <w:b/>
        </w:rPr>
        <w:t>elzijnsverenigingen</w:t>
      </w:r>
      <w:r w:rsidR="003113B6">
        <w:t xml:space="preserve">. </w:t>
      </w:r>
    </w:p>
    <w:p w14:paraId="79DBE89D" w14:textId="77777777" w:rsidR="00E4349C" w:rsidRDefault="00E4349C" w:rsidP="00E4349C"/>
    <w:p w14:paraId="0477C62D" w14:textId="77777777" w:rsidR="00014A14" w:rsidRDefault="00014A14" w:rsidP="00E4349C"/>
    <w:p w14:paraId="01FA58A2" w14:textId="59DA3CEA" w:rsidR="00E4349C" w:rsidRDefault="00A541ED" w:rsidP="00E4349C">
      <w:r>
        <w:t xml:space="preserve">We </w:t>
      </w:r>
      <w:r w:rsidR="00FB309C">
        <w:t>delen</w:t>
      </w:r>
      <w:r>
        <w:t xml:space="preserve"> de </w:t>
      </w:r>
      <w:r w:rsidR="00E4349C">
        <w:t>veranderingen in</w:t>
      </w:r>
      <w:r w:rsidR="00FB309C">
        <w:t xml:space="preserve"> </w:t>
      </w:r>
      <w:r w:rsidR="00E4349C">
        <w:t>drie categorieën:</w:t>
      </w:r>
    </w:p>
    <w:p w14:paraId="7C26FFBC" w14:textId="77777777" w:rsidR="00323DCF" w:rsidRPr="00323DCF" w:rsidRDefault="00323DCF" w:rsidP="00323DCF">
      <w:pPr>
        <w:rPr>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6574"/>
      </w:tblGrid>
      <w:tr w:rsidR="00323DCF" w:rsidRPr="00323DCF" w14:paraId="72C35D29" w14:textId="77777777" w:rsidTr="00380F1B">
        <w:trPr>
          <w:jc w:val="center"/>
        </w:trPr>
        <w:tc>
          <w:tcPr>
            <w:tcW w:w="959" w:type="dxa"/>
            <w:vAlign w:val="center"/>
          </w:tcPr>
          <w:p w14:paraId="7F2DDB09" w14:textId="77777777" w:rsidR="00323DCF" w:rsidRPr="009263A7" w:rsidRDefault="002D6678" w:rsidP="001A2F33">
            <w:pPr>
              <w:rPr>
                <w:lang w:val="nl-NL"/>
              </w:rPr>
            </w:pPr>
            <w:r>
              <w:rPr>
                <w:noProof/>
                <w:lang w:eastAsia="nl-BE"/>
              </w:rPr>
              <w:drawing>
                <wp:inline distT="0" distB="0" distL="0" distR="0" wp14:anchorId="312415E2" wp14:editId="506845FC">
                  <wp:extent cx="1000125" cy="1009650"/>
                  <wp:effectExtent l="0" t="0" r="9525"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00125" cy="1009650"/>
                          </a:xfrm>
                          <a:prstGeom prst="rect">
                            <a:avLst/>
                          </a:prstGeom>
                        </pic:spPr>
                      </pic:pic>
                    </a:graphicData>
                  </a:graphic>
                </wp:inline>
              </w:drawing>
            </w:r>
          </w:p>
        </w:tc>
        <w:tc>
          <w:tcPr>
            <w:tcW w:w="7572" w:type="dxa"/>
            <w:vAlign w:val="center"/>
          </w:tcPr>
          <w:p w14:paraId="1D38F643" w14:textId="77777777" w:rsidR="00056391" w:rsidRDefault="00323DCF" w:rsidP="009263A7">
            <w:pPr>
              <w:rPr>
                <w:lang w:val="nl-NL"/>
              </w:rPr>
            </w:pPr>
            <w:r w:rsidRPr="00323DCF">
              <w:rPr>
                <w:lang w:val="nl-NL"/>
              </w:rPr>
              <w:t xml:space="preserve">Veranderingen </w:t>
            </w:r>
            <w:r w:rsidR="00056391">
              <w:rPr>
                <w:lang w:val="nl-NL"/>
              </w:rPr>
              <w:t xml:space="preserve">die </w:t>
            </w:r>
            <w:r w:rsidR="00056391" w:rsidRPr="00380F1B">
              <w:rPr>
                <w:b/>
                <w:lang w:val="nl-NL"/>
              </w:rPr>
              <w:t>met zekerheid</w:t>
            </w:r>
            <w:r w:rsidRPr="009263A7">
              <w:rPr>
                <w:b/>
                <w:lang w:val="nl-NL"/>
              </w:rPr>
              <w:t xml:space="preserve"> een</w:t>
            </w:r>
            <w:r w:rsidRPr="00323DCF">
              <w:rPr>
                <w:b/>
                <w:lang w:val="nl-NL"/>
              </w:rPr>
              <w:t xml:space="preserve"> </w:t>
            </w:r>
            <w:r>
              <w:rPr>
                <w:b/>
                <w:lang w:val="nl-NL"/>
              </w:rPr>
              <w:t>actie ve</w:t>
            </w:r>
            <w:r w:rsidR="00515834">
              <w:rPr>
                <w:b/>
                <w:lang w:val="nl-NL"/>
              </w:rPr>
              <w:t>r</w:t>
            </w:r>
            <w:r>
              <w:rPr>
                <w:b/>
                <w:lang w:val="nl-NL"/>
              </w:rPr>
              <w:t>eisen</w:t>
            </w:r>
            <w:r w:rsidR="00056391">
              <w:rPr>
                <w:b/>
                <w:lang w:val="nl-NL"/>
              </w:rPr>
              <w:t xml:space="preserve"> </w:t>
            </w:r>
            <w:r w:rsidR="00056391" w:rsidRPr="00380F1B">
              <w:rPr>
                <w:lang w:val="nl-NL"/>
              </w:rPr>
              <w:t>tegen 1 januari 2019/zo snel mogelijk na 1 januari 2019</w:t>
            </w:r>
            <w:r w:rsidR="00056391" w:rsidRPr="009263A7">
              <w:rPr>
                <w:lang w:val="nl-NL"/>
              </w:rPr>
              <w:t xml:space="preserve"> </w:t>
            </w:r>
            <w:r w:rsidR="00056391">
              <w:rPr>
                <w:lang w:val="nl-NL"/>
              </w:rPr>
              <w:t>(= de datum waarop het grootste deel van het DLB in werking treedt).</w:t>
            </w:r>
          </w:p>
          <w:p w14:paraId="2D4C23E9" w14:textId="77777777" w:rsidR="00056391" w:rsidRDefault="00056391" w:rsidP="009263A7">
            <w:pPr>
              <w:rPr>
                <w:lang w:val="nl-NL"/>
              </w:rPr>
            </w:pPr>
          </w:p>
          <w:p w14:paraId="5D0A64A1" w14:textId="77777777" w:rsidR="00323DCF" w:rsidRPr="00323DCF" w:rsidRDefault="00056391" w:rsidP="00444441">
            <w:pPr>
              <w:rPr>
                <w:lang w:val="nl-NL"/>
              </w:rPr>
            </w:pPr>
            <w:r>
              <w:rPr>
                <w:lang w:val="nl-NL"/>
              </w:rPr>
              <w:t>Eventuele vertraging is</w:t>
            </w:r>
            <w:r w:rsidR="00323DCF" w:rsidRPr="00323DCF">
              <w:rPr>
                <w:lang w:val="nl-NL"/>
              </w:rPr>
              <w:t xml:space="preserve"> geen ramp, maar</w:t>
            </w:r>
            <w:r>
              <w:rPr>
                <w:lang w:val="nl-NL"/>
              </w:rPr>
              <w:t xml:space="preserve"> we</w:t>
            </w:r>
            <w:r w:rsidR="00323DCF" w:rsidRPr="00323DCF">
              <w:rPr>
                <w:lang w:val="nl-NL"/>
              </w:rPr>
              <w:t xml:space="preserve"> raden </w:t>
            </w:r>
            <w:r>
              <w:rPr>
                <w:lang w:val="nl-NL"/>
              </w:rPr>
              <w:t>wel</w:t>
            </w:r>
            <w:r w:rsidRPr="00323DCF">
              <w:rPr>
                <w:lang w:val="nl-NL"/>
              </w:rPr>
              <w:t xml:space="preserve"> </w:t>
            </w:r>
            <w:r w:rsidR="00323DCF" w:rsidRPr="00323DCF">
              <w:rPr>
                <w:lang w:val="nl-NL"/>
              </w:rPr>
              <w:t xml:space="preserve">aan om dit </w:t>
            </w:r>
            <w:r>
              <w:rPr>
                <w:lang w:val="nl-NL"/>
              </w:rPr>
              <w:t xml:space="preserve">toch </w:t>
            </w:r>
            <w:r w:rsidR="00323DCF" w:rsidRPr="00323DCF">
              <w:rPr>
                <w:lang w:val="nl-NL"/>
              </w:rPr>
              <w:t>zo snel</w:t>
            </w:r>
            <w:r>
              <w:rPr>
                <w:lang w:val="nl-NL"/>
              </w:rPr>
              <w:t xml:space="preserve"> als </w:t>
            </w:r>
            <w:r w:rsidR="00323DCF" w:rsidRPr="00323DCF">
              <w:rPr>
                <w:lang w:val="nl-NL"/>
              </w:rPr>
              <w:t xml:space="preserve">mogelijk in orde te </w:t>
            </w:r>
            <w:r w:rsidR="00A541ED">
              <w:rPr>
                <w:lang w:val="nl-NL"/>
              </w:rPr>
              <w:t>brengen</w:t>
            </w:r>
            <w:r w:rsidR="00323DCF" w:rsidRPr="00323DCF">
              <w:rPr>
                <w:lang w:val="nl-NL"/>
              </w:rPr>
              <w:t>.</w:t>
            </w:r>
          </w:p>
        </w:tc>
      </w:tr>
      <w:tr w:rsidR="00323DCF" w:rsidRPr="00323DCF" w14:paraId="5B31A056" w14:textId="77777777" w:rsidTr="00380F1B">
        <w:trPr>
          <w:jc w:val="center"/>
        </w:trPr>
        <w:tc>
          <w:tcPr>
            <w:tcW w:w="959" w:type="dxa"/>
            <w:vAlign w:val="center"/>
          </w:tcPr>
          <w:p w14:paraId="4BD9E495" w14:textId="77777777" w:rsidR="00323DCF" w:rsidRPr="00323DCF" w:rsidRDefault="002D6678" w:rsidP="00323DCF">
            <w:pPr>
              <w:rPr>
                <w:lang w:val="nl-NL"/>
              </w:rPr>
            </w:pPr>
            <w:r>
              <w:rPr>
                <w:noProof/>
                <w:lang w:eastAsia="nl-BE"/>
              </w:rPr>
              <w:drawing>
                <wp:inline distT="0" distB="0" distL="0" distR="0" wp14:anchorId="4B51A7F1" wp14:editId="16A4A8C3">
                  <wp:extent cx="1000125" cy="1000125"/>
                  <wp:effectExtent l="0" t="0" r="9525" b="9525"/>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0125" cy="1000125"/>
                          </a:xfrm>
                          <a:prstGeom prst="rect">
                            <a:avLst/>
                          </a:prstGeom>
                        </pic:spPr>
                      </pic:pic>
                    </a:graphicData>
                  </a:graphic>
                </wp:inline>
              </w:drawing>
            </w:r>
          </w:p>
        </w:tc>
        <w:tc>
          <w:tcPr>
            <w:tcW w:w="7572" w:type="dxa"/>
            <w:vAlign w:val="center"/>
          </w:tcPr>
          <w:p w14:paraId="0122F72F" w14:textId="77777777" w:rsidR="00323DCF" w:rsidRDefault="00CF43D6" w:rsidP="009263A7">
            <w:pPr>
              <w:rPr>
                <w:lang w:val="nl-NL"/>
              </w:rPr>
            </w:pPr>
            <w:r>
              <w:rPr>
                <w:lang w:val="nl-NL"/>
              </w:rPr>
              <w:t xml:space="preserve">Veranderingen die </w:t>
            </w:r>
            <w:r w:rsidR="00515834" w:rsidRPr="00444441">
              <w:rPr>
                <w:b/>
                <w:lang w:val="nl-NL"/>
              </w:rPr>
              <w:t xml:space="preserve">mogelijk </w:t>
            </w:r>
            <w:r w:rsidRPr="00444441">
              <w:rPr>
                <w:b/>
                <w:lang w:val="nl-NL"/>
              </w:rPr>
              <w:t xml:space="preserve">een actie </w:t>
            </w:r>
            <w:r w:rsidR="00515834" w:rsidRPr="00444441">
              <w:rPr>
                <w:b/>
                <w:lang w:val="nl-NL"/>
              </w:rPr>
              <w:t>vereisen</w:t>
            </w:r>
            <w:r w:rsidR="00515834">
              <w:rPr>
                <w:b/>
                <w:lang w:val="nl-NL"/>
              </w:rPr>
              <w:t xml:space="preserve"> </w:t>
            </w:r>
            <w:r w:rsidR="00515834" w:rsidRPr="00444441">
              <w:rPr>
                <w:lang w:val="nl-NL"/>
              </w:rPr>
              <w:t>tegen 1 januari 2019/zo snel mogelijk na 1 januari 2019</w:t>
            </w:r>
            <w:r w:rsidR="00FB309C">
              <w:rPr>
                <w:lang w:val="nl-NL"/>
              </w:rPr>
              <w:t>.</w:t>
            </w:r>
          </w:p>
          <w:p w14:paraId="35716B64" w14:textId="77777777" w:rsidR="00CF43D6" w:rsidRPr="00323DCF" w:rsidRDefault="00515834" w:rsidP="001A2F33">
            <w:pPr>
              <w:rPr>
                <w:lang w:val="nl-NL"/>
              </w:rPr>
            </w:pPr>
            <w:r>
              <w:rPr>
                <w:lang w:val="nl-NL"/>
              </w:rPr>
              <w:br/>
            </w:r>
            <w:r w:rsidR="001A2F33">
              <w:rPr>
                <w:lang w:val="nl-NL"/>
              </w:rPr>
              <w:t>Niet iedereen zal deze aanpassingen moeten doen. U</w:t>
            </w:r>
            <w:r>
              <w:rPr>
                <w:lang w:val="nl-NL"/>
              </w:rPr>
              <w:t xml:space="preserve"> zal zelf (bijvoorbeeld </w:t>
            </w:r>
            <w:r w:rsidR="00214C0A">
              <w:rPr>
                <w:lang w:val="nl-NL"/>
              </w:rPr>
              <w:t>de</w:t>
            </w:r>
            <w:r>
              <w:rPr>
                <w:lang w:val="nl-NL"/>
              </w:rPr>
              <w:t xml:space="preserve"> statuten) moeten nakijken of deze bepalingen al opgenomen zijn en </w:t>
            </w:r>
            <w:r w:rsidR="00214C0A">
              <w:rPr>
                <w:lang w:val="nl-NL"/>
              </w:rPr>
              <w:t>of een aanpassing nodig is</w:t>
            </w:r>
            <w:r>
              <w:rPr>
                <w:lang w:val="nl-NL"/>
              </w:rPr>
              <w:t>.</w:t>
            </w:r>
          </w:p>
        </w:tc>
      </w:tr>
      <w:tr w:rsidR="00323DCF" w:rsidRPr="00323DCF" w14:paraId="30BA5148" w14:textId="77777777" w:rsidTr="00380F1B">
        <w:trPr>
          <w:jc w:val="center"/>
        </w:trPr>
        <w:tc>
          <w:tcPr>
            <w:tcW w:w="959" w:type="dxa"/>
            <w:vAlign w:val="center"/>
          </w:tcPr>
          <w:p w14:paraId="19E0F3B6" w14:textId="77777777" w:rsidR="001A2F33" w:rsidRDefault="001A2F33" w:rsidP="00323DCF">
            <w:pPr>
              <w:rPr>
                <w:noProof/>
                <w:lang w:eastAsia="nl-BE"/>
              </w:rPr>
            </w:pPr>
          </w:p>
          <w:p w14:paraId="65F2593E" w14:textId="77777777" w:rsidR="001A2F33" w:rsidRDefault="003925E3" w:rsidP="00323DCF">
            <w:pPr>
              <w:rPr>
                <w:lang w:val="nl-NL"/>
              </w:rPr>
            </w:pPr>
            <w:r>
              <w:rPr>
                <w:noProof/>
                <w:lang w:eastAsia="nl-BE"/>
              </w:rPr>
              <w:drawing>
                <wp:inline distT="0" distB="0" distL="0" distR="0" wp14:anchorId="45EAFD02" wp14:editId="62F90A18">
                  <wp:extent cx="1000125" cy="1000125"/>
                  <wp:effectExtent l="0" t="0" r="9525" b="9525"/>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00125" cy="1000125"/>
                          </a:xfrm>
                          <a:prstGeom prst="rect">
                            <a:avLst/>
                          </a:prstGeom>
                        </pic:spPr>
                      </pic:pic>
                    </a:graphicData>
                  </a:graphic>
                </wp:inline>
              </w:drawing>
            </w:r>
          </w:p>
          <w:p w14:paraId="1D568E58" w14:textId="77777777" w:rsidR="00323DCF" w:rsidRPr="00323DCF" w:rsidRDefault="00323DCF" w:rsidP="00323DCF">
            <w:pPr>
              <w:rPr>
                <w:lang w:val="nl-NL"/>
              </w:rPr>
            </w:pPr>
          </w:p>
        </w:tc>
        <w:tc>
          <w:tcPr>
            <w:tcW w:w="7572" w:type="dxa"/>
            <w:vAlign w:val="center"/>
          </w:tcPr>
          <w:p w14:paraId="1C9F9240" w14:textId="77777777" w:rsidR="00323DCF" w:rsidRPr="00323DCF" w:rsidRDefault="00323DCF" w:rsidP="009263A7">
            <w:pPr>
              <w:rPr>
                <w:lang w:val="nl-NL"/>
              </w:rPr>
            </w:pPr>
            <w:r w:rsidRPr="00323DCF">
              <w:rPr>
                <w:lang w:val="nl-NL"/>
              </w:rPr>
              <w:t xml:space="preserve">Veranderingen </w:t>
            </w:r>
            <w:r w:rsidR="00515834">
              <w:rPr>
                <w:lang w:val="nl-NL"/>
              </w:rPr>
              <w:t xml:space="preserve">die </w:t>
            </w:r>
            <w:r w:rsidR="00515834" w:rsidRPr="00444441">
              <w:rPr>
                <w:b/>
                <w:lang w:val="nl-NL"/>
              </w:rPr>
              <w:t>niet meteen een aanpassing</w:t>
            </w:r>
            <w:r w:rsidR="00515834">
              <w:rPr>
                <w:lang w:val="nl-NL"/>
              </w:rPr>
              <w:t xml:space="preserve"> van </w:t>
            </w:r>
            <w:r w:rsidR="00214C0A">
              <w:rPr>
                <w:lang w:val="nl-NL"/>
              </w:rPr>
              <w:t xml:space="preserve">de </w:t>
            </w:r>
            <w:r w:rsidR="00515834">
              <w:rPr>
                <w:lang w:val="nl-NL"/>
              </w:rPr>
              <w:t xml:space="preserve">bestaande statuten en reglementen vereisen, maar waar </w:t>
            </w:r>
            <w:r w:rsidR="00214C0A">
              <w:rPr>
                <w:lang w:val="nl-NL"/>
              </w:rPr>
              <w:t>de vereniging</w:t>
            </w:r>
            <w:r w:rsidR="00515834">
              <w:rPr>
                <w:lang w:val="nl-NL"/>
              </w:rPr>
              <w:t xml:space="preserve"> vanaf 2019 rekening mee moet houden.</w:t>
            </w:r>
          </w:p>
        </w:tc>
      </w:tr>
    </w:tbl>
    <w:p w14:paraId="76CCFB30" w14:textId="77777777" w:rsidR="00E4349C" w:rsidRDefault="00E4349C" w:rsidP="00E4349C"/>
    <w:p w14:paraId="30CD5DF2" w14:textId="77777777" w:rsidR="00EB7F96" w:rsidRDefault="00323DCF" w:rsidP="00E4349C">
      <w:pPr>
        <w:rPr>
          <w:lang w:val="nl-NL"/>
        </w:rPr>
      </w:pPr>
      <w:r w:rsidRPr="00323DCF">
        <w:rPr>
          <w:lang w:val="nl-NL"/>
        </w:rPr>
        <w:t xml:space="preserve">In deze checklist proberen we </w:t>
      </w:r>
      <w:r w:rsidR="00214C0A">
        <w:rPr>
          <w:lang w:val="nl-NL"/>
        </w:rPr>
        <w:t xml:space="preserve">een </w:t>
      </w:r>
      <w:r w:rsidRPr="00323DCF">
        <w:rPr>
          <w:lang w:val="nl-NL"/>
        </w:rPr>
        <w:t xml:space="preserve">onderscheid te maken tussen deze drie categorieën. Het is niet altijd evident om de juiste categorie te bepalen.  Heeft u nog aanvullingen, voorstellen of opmerkingen om deze checklist te verbeteren dan mag u die bezorgen aan </w:t>
      </w:r>
      <w:hyperlink r:id="rId14" w:history="1">
        <w:r w:rsidRPr="00900156">
          <w:rPr>
            <w:rStyle w:val="Hyperlink"/>
            <w:lang w:val="nl-NL"/>
          </w:rPr>
          <w:t>emme.vandeginste@vvsg.be</w:t>
        </w:r>
      </w:hyperlink>
      <w:r>
        <w:rPr>
          <w:lang w:val="nl-NL"/>
        </w:rPr>
        <w:t xml:space="preserve"> of </w:t>
      </w:r>
      <w:hyperlink r:id="rId15" w:history="1">
        <w:r w:rsidRPr="00323DCF">
          <w:rPr>
            <w:rStyle w:val="Hyperlink"/>
            <w:lang w:val="nl-NL"/>
          </w:rPr>
          <w:t>pieter.vanderstappen@vvsg.be</w:t>
        </w:r>
      </w:hyperlink>
      <w:r w:rsidRPr="00323DCF">
        <w:rPr>
          <w:lang w:val="nl-NL"/>
        </w:rPr>
        <w:t>. We verwerken deze opmerkingen en plaatsen daarna nieuwe versies van de checklist op onze website</w:t>
      </w:r>
      <w:r w:rsidR="00014A14">
        <w:rPr>
          <w:rStyle w:val="Voetnootmarkering"/>
          <w:lang w:val="nl-NL"/>
        </w:rPr>
        <w:footnoteReference w:id="3"/>
      </w:r>
      <w:r w:rsidRPr="00323DCF">
        <w:rPr>
          <w:lang w:val="nl-NL"/>
        </w:rPr>
        <w:t>.</w:t>
      </w:r>
    </w:p>
    <w:p w14:paraId="5199C9FB" w14:textId="77777777" w:rsidR="00014A14" w:rsidRPr="00EB7F96" w:rsidRDefault="00EB7F96" w:rsidP="00EB7F96">
      <w:pPr>
        <w:spacing w:line="300" w:lineRule="exact"/>
        <w:contextualSpacing w:val="0"/>
        <w:rPr>
          <w:lang w:val="nl-NL"/>
        </w:rPr>
      </w:pPr>
      <w:r>
        <w:rPr>
          <w:lang w:val="nl-NL"/>
        </w:rPr>
        <w:br w:type="page"/>
      </w:r>
    </w:p>
    <w:p w14:paraId="13E67D73" w14:textId="77777777" w:rsidR="002D0DA7" w:rsidRPr="00D2309B" w:rsidRDefault="00323DCF" w:rsidP="00D2309B">
      <w:pPr>
        <w:pStyle w:val="Kop1"/>
      </w:pPr>
      <w:r>
        <w:lastRenderedPageBreak/>
        <w:t>Veranderingen</w:t>
      </w:r>
    </w:p>
    <w:p w14:paraId="0C676166" w14:textId="77777777" w:rsidR="008D38EF" w:rsidRDefault="00D2309B" w:rsidP="00D2309B">
      <w:r w:rsidRPr="002D0DA7">
        <w:t xml:space="preserve">De </w:t>
      </w:r>
      <w:r w:rsidR="00214C0A">
        <w:t>veranderingen</w:t>
      </w:r>
      <w:r w:rsidR="002D0DA7" w:rsidRPr="002D0DA7">
        <w:t xml:space="preserve"> voor de welzijnsverenigingen</w:t>
      </w:r>
      <w:r w:rsidRPr="002D0DA7">
        <w:t xml:space="preserve"> zijn:</w:t>
      </w:r>
    </w:p>
    <w:p w14:paraId="75103781" w14:textId="77777777" w:rsidR="009A0724" w:rsidRDefault="00AB5E42" w:rsidP="00380F1B">
      <w:pPr>
        <w:pStyle w:val="Kop2"/>
      </w:pPr>
      <w:r>
        <w:t xml:space="preserve">Wijzigingen aan de statuten: </w:t>
      </w:r>
    </w:p>
    <w:p w14:paraId="269CD7E1" w14:textId="65CF99B5" w:rsidR="00BA72AB" w:rsidRDefault="008A2C77" w:rsidP="00DF07B2">
      <w:pPr>
        <w:pStyle w:val="Kop3"/>
      </w:pPr>
      <w:r>
        <w:t>Timing</w:t>
      </w:r>
    </w:p>
    <w:p w14:paraId="114A3E01" w14:textId="77777777" w:rsidR="008A2C77" w:rsidRDefault="008A2C77" w:rsidP="008A2C77"/>
    <w:p w14:paraId="3ACD4D78" w14:textId="58CC31AA" w:rsidR="008A2C77" w:rsidRDefault="008A2C77" w:rsidP="008A2C77">
      <w:r w:rsidRPr="008A2C77">
        <w:t xml:space="preserve">Statutenwijzigingen </w:t>
      </w:r>
      <w:r w:rsidR="00840E7C">
        <w:t xml:space="preserve">om de vereniging </w:t>
      </w:r>
      <w:r w:rsidRPr="008A2C77">
        <w:t xml:space="preserve">in overeenstemming </w:t>
      </w:r>
      <w:r w:rsidR="00840E7C">
        <w:t xml:space="preserve">te </w:t>
      </w:r>
      <w:r w:rsidRPr="008A2C77">
        <w:t xml:space="preserve">brengen met het decreet over het lokaal bestuur kunnen reeds in 2018 doorgevoerd worden. </w:t>
      </w:r>
      <w:r w:rsidR="00D434EE">
        <w:t>Wel</w:t>
      </w:r>
      <w:r w:rsidR="00D434EE" w:rsidRPr="008A2C77">
        <w:t xml:space="preserve"> </w:t>
      </w:r>
      <w:r w:rsidRPr="008A2C77">
        <w:t xml:space="preserve">moet </w:t>
      </w:r>
      <w:r w:rsidR="00D434EE">
        <w:t xml:space="preserve">men ook rekening houden met het </w:t>
      </w:r>
      <w:r w:rsidR="006E241E">
        <w:t xml:space="preserve">principe </w:t>
      </w:r>
      <w:r w:rsidR="00D434EE">
        <w:t>dat er</w:t>
      </w:r>
      <w:r w:rsidR="00974B81">
        <w:t xml:space="preserve"> tijdens het laatste jaar van de legislatuur </w:t>
      </w:r>
      <w:r w:rsidR="00D434EE" w:rsidRPr="00974B81">
        <w:t xml:space="preserve">in </w:t>
      </w:r>
      <w:proofErr w:type="spellStart"/>
      <w:r w:rsidR="00D434EE" w:rsidRPr="00974B81">
        <w:t>extremis</w:t>
      </w:r>
      <w:proofErr w:type="spellEnd"/>
      <w:r w:rsidR="00D434EE" w:rsidRPr="00974B81">
        <w:t xml:space="preserve"> geen beslissingen </w:t>
      </w:r>
      <w:r w:rsidR="00D434EE">
        <w:t xml:space="preserve">genomen </w:t>
      </w:r>
      <w:r w:rsidR="00974B81">
        <w:t xml:space="preserve">kunnen </w:t>
      </w:r>
      <w:r w:rsidR="00D434EE">
        <w:t xml:space="preserve">worden </w:t>
      </w:r>
      <w:r w:rsidR="00D434EE" w:rsidRPr="00974B81">
        <w:t xml:space="preserve">die het beleid van de nieuwe </w:t>
      </w:r>
      <w:r w:rsidR="00974B81">
        <w:t xml:space="preserve">verkozenen </w:t>
      </w:r>
      <w:r w:rsidR="00D434EE" w:rsidRPr="00974B81">
        <w:t>of de toekomstige ontwikkeling van de financiën nodeloos zouden verstoren.</w:t>
      </w:r>
    </w:p>
    <w:p w14:paraId="2C9A3B46" w14:textId="77777777" w:rsidR="006E241E" w:rsidRDefault="006E241E" w:rsidP="008A2C77"/>
    <w:p w14:paraId="38CB4C11" w14:textId="5CDE50A3" w:rsidR="008A2C77" w:rsidRDefault="008A2C77" w:rsidP="008A2C77">
      <w:r w:rsidRPr="008A2C77">
        <w:t xml:space="preserve">Net zoals dat het geval </w:t>
      </w:r>
      <w:r w:rsidR="00C17C0D">
        <w:t>was</w:t>
      </w:r>
      <w:r w:rsidRPr="008A2C77">
        <w:t xml:space="preserve"> bij de inwerkingtreding van het OCMW-decreet, toen de hoofdstuk XII-vereniging op basis van de OCMW-wet werd opgevolgd door de hoofdstuk I-vereniging op basis van het OCMW-decreet,  zal het toezicht de betrokken OCMW-verenigingen het nodige respijt gunnen om ook na de inwerkingtreding </w:t>
      </w:r>
      <w:r>
        <w:t xml:space="preserve">van </w:t>
      </w:r>
      <w:r w:rsidRPr="008A2C77">
        <w:t>h</w:t>
      </w:r>
      <w:r>
        <w:t>et decreet over het lokaal bestuur</w:t>
      </w:r>
      <w:r w:rsidRPr="008A2C77">
        <w:t xml:space="preserve"> hun statuten aan te passen.</w:t>
      </w:r>
    </w:p>
    <w:p w14:paraId="14735DD3" w14:textId="28E33461" w:rsidR="008A2C77" w:rsidRDefault="008A2C77" w:rsidP="008A2C77"/>
    <w:p w14:paraId="2F5D4714" w14:textId="77777777" w:rsidR="008A2C77" w:rsidRPr="008A2C77" w:rsidRDefault="008A2C77" w:rsidP="00D434EE"/>
    <w:p w14:paraId="0A2E4B93" w14:textId="779B9480" w:rsidR="00AB5E42" w:rsidRPr="00AB5E42" w:rsidRDefault="00AB5E42" w:rsidP="00DF07B2">
      <w:pPr>
        <w:pStyle w:val="Kop3"/>
      </w:pPr>
      <w:r>
        <w:t>nieuwe terminologie</w:t>
      </w:r>
    </w:p>
    <w:p w14:paraId="2D15F5AF" w14:textId="77777777" w:rsidR="00AB5E42" w:rsidRDefault="00AB5E42" w:rsidP="00AB5E42">
      <w:r w:rsidRPr="000E7472">
        <w:rPr>
          <w:b/>
        </w:rPr>
        <w:t>meer info:</w:t>
      </w:r>
      <w:r>
        <w:t xml:space="preserve"> </w:t>
      </w:r>
      <w:hyperlink r:id="rId16" w:history="1">
        <w:r w:rsidRPr="00AB5E42">
          <w:rPr>
            <w:rStyle w:val="Hyperlink"/>
          </w:rPr>
          <w:t>emme.vandeginste@vvsg.be</w:t>
        </w:r>
      </w:hyperlink>
    </w:p>
    <w:p w14:paraId="3E7F05A7" w14:textId="77777777" w:rsidR="00AB5E42" w:rsidRPr="00AB5E42" w:rsidRDefault="00AB5E42" w:rsidP="00AB5E42"/>
    <w:p w14:paraId="2A08B1A9" w14:textId="77777777" w:rsidR="00EE7944" w:rsidRDefault="00EE7944" w:rsidP="00D2309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6804"/>
      </w:tblGrid>
      <w:tr w:rsidR="008A3126" w:rsidRPr="00EE7944" w14:paraId="62EC482B" w14:textId="77777777" w:rsidTr="00EB7F96">
        <w:tc>
          <w:tcPr>
            <w:tcW w:w="1525" w:type="dxa"/>
            <w:vAlign w:val="center"/>
          </w:tcPr>
          <w:p w14:paraId="2A9459A4" w14:textId="77777777" w:rsidR="008A3126" w:rsidRPr="00EE7944" w:rsidRDefault="008A3126" w:rsidP="008A3126">
            <w:pPr>
              <w:jc w:val="center"/>
            </w:pPr>
            <w:r>
              <w:rPr>
                <w:noProof/>
                <w:lang w:eastAsia="nl-BE"/>
              </w:rPr>
              <w:drawing>
                <wp:inline distT="0" distB="0" distL="0" distR="0" wp14:anchorId="070528CB" wp14:editId="6BFAA0B3">
                  <wp:extent cx="716400" cy="720000"/>
                  <wp:effectExtent l="0" t="0" r="7620" b="4445"/>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6400" cy="720000"/>
                          </a:xfrm>
                          <a:prstGeom prst="rect">
                            <a:avLst/>
                          </a:prstGeom>
                        </pic:spPr>
                      </pic:pic>
                    </a:graphicData>
                  </a:graphic>
                </wp:inline>
              </w:drawing>
            </w:r>
          </w:p>
        </w:tc>
        <w:tc>
          <w:tcPr>
            <w:tcW w:w="6804" w:type="dxa"/>
            <w:vAlign w:val="center"/>
          </w:tcPr>
          <w:p w14:paraId="183FB9BA" w14:textId="77777777" w:rsidR="008A3126" w:rsidRDefault="008A3126" w:rsidP="00EE42AA">
            <w:r w:rsidRPr="00F234C2">
              <w:t xml:space="preserve">Juiste </w:t>
            </w:r>
            <w:r w:rsidRPr="00380F1B">
              <w:rPr>
                <w:u w:val="single"/>
              </w:rPr>
              <w:t>omschrijving</w:t>
            </w:r>
            <w:r w:rsidRPr="00F234C2">
              <w:t xml:space="preserve"> van de </w:t>
            </w:r>
            <w:r w:rsidRPr="00380F1B">
              <w:rPr>
                <w:u w:val="single"/>
              </w:rPr>
              <w:t>rechtsvorm</w:t>
            </w:r>
            <w:r w:rsidRPr="00F234C2">
              <w:t xml:space="preserve">: </w:t>
            </w:r>
            <w:r>
              <w:br/>
            </w:r>
            <w:r w:rsidRPr="00380F1B">
              <w:t>“</w:t>
            </w:r>
            <w:r>
              <w:t>V</w:t>
            </w:r>
            <w:r w:rsidRPr="00380F1B">
              <w:t>ereniging van publiek recht onderworpen aan deel 3, titel 4, hoofdstuk 2, van het decreet over het lokaal bestuur”, “welzijnsvereniging” of de initialen “WV”.</w:t>
            </w:r>
            <w:r>
              <w:t xml:space="preserve"> </w:t>
            </w:r>
            <w:r>
              <w:br/>
            </w:r>
          </w:p>
          <w:p w14:paraId="5FC4E38B" w14:textId="77777777" w:rsidR="008A3126" w:rsidRPr="00444441" w:rsidRDefault="008A3126" w:rsidP="00EE42AA">
            <w:pPr>
              <w:rPr>
                <w:i/>
              </w:rPr>
            </w:pPr>
            <w:r>
              <w:t>(</w:t>
            </w:r>
            <w:r>
              <w:rPr>
                <w:i/>
              </w:rPr>
              <w:t xml:space="preserve">De naam van de rechtsvorm wijzigt en moet </w:t>
            </w:r>
            <w:r w:rsidR="00214C0A">
              <w:rPr>
                <w:i/>
              </w:rPr>
              <w:t xml:space="preserve">worden </w:t>
            </w:r>
            <w:r>
              <w:rPr>
                <w:i/>
              </w:rPr>
              <w:t>aangepast in de statuten.)</w:t>
            </w:r>
          </w:p>
          <w:p w14:paraId="1F5A3692" w14:textId="77777777" w:rsidR="008A3126" w:rsidRPr="00F234C2" w:rsidRDefault="008A3126" w:rsidP="00EE42AA">
            <w:pPr>
              <w:rPr>
                <w:lang w:val="nl-NL"/>
              </w:rPr>
            </w:pPr>
            <w:r>
              <w:br/>
            </w:r>
            <w:r w:rsidRPr="00380F1B">
              <w:rPr>
                <w:sz w:val="16"/>
                <w:szCs w:val="16"/>
              </w:rPr>
              <w:t>(art. 478, §2 DLB)</w:t>
            </w:r>
            <w:r>
              <w:br/>
            </w:r>
          </w:p>
        </w:tc>
      </w:tr>
      <w:tr w:rsidR="008A3126" w:rsidRPr="00EE7944" w14:paraId="7D994528" w14:textId="77777777" w:rsidTr="00EB7F96">
        <w:tc>
          <w:tcPr>
            <w:tcW w:w="1525" w:type="dxa"/>
            <w:vAlign w:val="center"/>
          </w:tcPr>
          <w:p w14:paraId="1D997E41" w14:textId="77777777" w:rsidR="008A3126" w:rsidRPr="00EE7944" w:rsidRDefault="008A3126" w:rsidP="008A3126">
            <w:pPr>
              <w:jc w:val="center"/>
            </w:pPr>
            <w:r>
              <w:rPr>
                <w:noProof/>
                <w:lang w:eastAsia="nl-BE"/>
              </w:rPr>
              <w:drawing>
                <wp:inline distT="0" distB="0" distL="0" distR="0" wp14:anchorId="08F3F2A2" wp14:editId="11AFF138">
                  <wp:extent cx="720000" cy="720000"/>
                  <wp:effectExtent l="0" t="0" r="4445" b="444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248D34EB" w14:textId="77777777" w:rsidR="008A3126" w:rsidRPr="00380F1B" w:rsidRDefault="008A3126" w:rsidP="00EE42AA">
            <w:r>
              <w:t>“</w:t>
            </w:r>
            <w:r w:rsidR="00214C0A">
              <w:rPr>
                <w:u w:val="single"/>
              </w:rPr>
              <w:t>R</w:t>
            </w:r>
            <w:r w:rsidRPr="00380F1B">
              <w:rPr>
                <w:u w:val="single"/>
              </w:rPr>
              <w:t>aad van beheer</w:t>
            </w:r>
            <w:r>
              <w:t>”</w:t>
            </w:r>
            <w:r w:rsidRPr="00F234C2">
              <w:t xml:space="preserve"> vervangen door </w:t>
            </w:r>
            <w:r>
              <w:t>“</w:t>
            </w:r>
            <w:r w:rsidRPr="00444441">
              <w:rPr>
                <w:u w:val="single"/>
              </w:rPr>
              <w:t>raad van bestuur</w:t>
            </w:r>
            <w:r>
              <w:t>“</w:t>
            </w:r>
          </w:p>
          <w:p w14:paraId="5833E2C7" w14:textId="77777777" w:rsidR="008A3126" w:rsidRDefault="008A3126" w:rsidP="00EE42AA">
            <w:pPr>
              <w:rPr>
                <w:i/>
              </w:rPr>
            </w:pPr>
            <w:r>
              <w:rPr>
                <w:i/>
              </w:rPr>
              <w:br/>
              <w:t xml:space="preserve">(Als de statuten nog </w:t>
            </w:r>
            <w:r w:rsidR="00214C0A">
              <w:rPr>
                <w:i/>
              </w:rPr>
              <w:t>spreken van</w:t>
            </w:r>
            <w:r>
              <w:rPr>
                <w:i/>
              </w:rPr>
              <w:t xml:space="preserve">  de raad van beheer, moet dat </w:t>
            </w:r>
            <w:r w:rsidR="00214C0A">
              <w:rPr>
                <w:i/>
              </w:rPr>
              <w:t xml:space="preserve">worden </w:t>
            </w:r>
            <w:r>
              <w:rPr>
                <w:i/>
              </w:rPr>
              <w:t>aangepast. Het DLB gebruikt consequent raad van bestuur.)</w:t>
            </w:r>
          </w:p>
          <w:p w14:paraId="598FCA1A" w14:textId="77777777" w:rsidR="008A3126" w:rsidRDefault="008A3126" w:rsidP="00EE42AA">
            <w:pPr>
              <w:rPr>
                <w:i/>
              </w:rPr>
            </w:pPr>
          </w:p>
          <w:p w14:paraId="7C49312A" w14:textId="77777777" w:rsidR="008A3126" w:rsidRDefault="008A3126" w:rsidP="00EE42AA">
            <w:pPr>
              <w:rPr>
                <w:sz w:val="16"/>
                <w:szCs w:val="16"/>
                <w:lang w:val="nl-NL"/>
              </w:rPr>
            </w:pPr>
            <w:r w:rsidRPr="00380F1B">
              <w:rPr>
                <w:sz w:val="16"/>
                <w:szCs w:val="16"/>
                <w:lang w:val="nl-NL"/>
              </w:rPr>
              <w:t>(o.a. art. 477 DLB)</w:t>
            </w:r>
          </w:p>
          <w:p w14:paraId="1EF023C7" w14:textId="77777777" w:rsidR="008A3126" w:rsidRPr="00380F1B" w:rsidRDefault="008A3126" w:rsidP="00EE42AA">
            <w:pPr>
              <w:rPr>
                <w:sz w:val="16"/>
                <w:szCs w:val="16"/>
                <w:lang w:val="nl-NL"/>
              </w:rPr>
            </w:pPr>
          </w:p>
        </w:tc>
      </w:tr>
      <w:tr w:rsidR="008A3126" w:rsidRPr="00EE7944" w14:paraId="196180E5" w14:textId="77777777" w:rsidTr="00EB7F96">
        <w:tc>
          <w:tcPr>
            <w:tcW w:w="1525" w:type="dxa"/>
            <w:vAlign w:val="center"/>
          </w:tcPr>
          <w:p w14:paraId="7BFF14C0" w14:textId="77777777" w:rsidR="008A3126" w:rsidRPr="00EE7944" w:rsidRDefault="008A3126" w:rsidP="008A3126">
            <w:pPr>
              <w:jc w:val="center"/>
            </w:pPr>
            <w:r>
              <w:rPr>
                <w:noProof/>
                <w:lang w:eastAsia="nl-BE"/>
              </w:rPr>
              <w:lastRenderedPageBreak/>
              <w:drawing>
                <wp:inline distT="0" distB="0" distL="0" distR="0" wp14:anchorId="25C5A5F2" wp14:editId="2A7BFC06">
                  <wp:extent cx="720000" cy="720000"/>
                  <wp:effectExtent l="0" t="0" r="4445" b="444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03CC0875" w14:textId="77777777" w:rsidR="008A3126" w:rsidRDefault="008A3126" w:rsidP="00EE42AA">
            <w:r>
              <w:t>"</w:t>
            </w:r>
            <w:r w:rsidR="00214C0A">
              <w:rPr>
                <w:u w:val="single"/>
              </w:rPr>
              <w:t>B</w:t>
            </w:r>
            <w:r w:rsidRPr="00380F1B">
              <w:rPr>
                <w:u w:val="single"/>
              </w:rPr>
              <w:t>eheerders</w:t>
            </w:r>
            <w:r>
              <w:t>”</w:t>
            </w:r>
            <w:r w:rsidRPr="00922444">
              <w:t xml:space="preserve"> vervangen door </w:t>
            </w:r>
            <w:r>
              <w:t>“</w:t>
            </w:r>
            <w:r w:rsidRPr="00444441">
              <w:rPr>
                <w:u w:val="single"/>
              </w:rPr>
              <w:t>bestuurders</w:t>
            </w:r>
            <w:r>
              <w:t>”</w:t>
            </w:r>
          </w:p>
          <w:p w14:paraId="456D29F9" w14:textId="77777777" w:rsidR="008A3126" w:rsidRDefault="008A3126" w:rsidP="00EE42AA"/>
          <w:p w14:paraId="07F01B83" w14:textId="77777777" w:rsidR="008A3126" w:rsidRDefault="008A3126" w:rsidP="00EE42AA">
            <w:pPr>
              <w:rPr>
                <w:i/>
              </w:rPr>
            </w:pPr>
            <w:r>
              <w:rPr>
                <w:i/>
              </w:rPr>
              <w:t>(Zie hierboven bij “raad van beheer”. Als in de statuten nog gesproken wordt over beheerders, moet dat aangepast worden.)</w:t>
            </w:r>
          </w:p>
          <w:p w14:paraId="215C3334" w14:textId="77777777" w:rsidR="008A3126" w:rsidRDefault="008A3126" w:rsidP="00EE42AA">
            <w:pPr>
              <w:rPr>
                <w:lang w:val="nl-NL"/>
              </w:rPr>
            </w:pPr>
          </w:p>
          <w:p w14:paraId="692517B9" w14:textId="77777777" w:rsidR="008A3126" w:rsidRDefault="008A3126" w:rsidP="00EE42AA">
            <w:pPr>
              <w:rPr>
                <w:sz w:val="16"/>
                <w:szCs w:val="16"/>
                <w:lang w:val="nl-NL"/>
              </w:rPr>
            </w:pPr>
            <w:r w:rsidRPr="00380F1B">
              <w:rPr>
                <w:sz w:val="16"/>
                <w:szCs w:val="16"/>
                <w:lang w:val="nl-NL"/>
              </w:rPr>
              <w:t>(o.a. art. 477 DLB)</w:t>
            </w:r>
          </w:p>
          <w:p w14:paraId="4F0BF923" w14:textId="77777777" w:rsidR="008A3126" w:rsidRPr="00380F1B" w:rsidRDefault="008A3126" w:rsidP="00EE42AA">
            <w:pPr>
              <w:rPr>
                <w:sz w:val="16"/>
                <w:szCs w:val="16"/>
                <w:lang w:val="nl-NL"/>
              </w:rPr>
            </w:pPr>
          </w:p>
        </w:tc>
      </w:tr>
      <w:tr w:rsidR="008A3126" w:rsidRPr="00EE7944" w14:paraId="089992FC" w14:textId="77777777" w:rsidTr="00EB7F96">
        <w:tc>
          <w:tcPr>
            <w:tcW w:w="1525" w:type="dxa"/>
            <w:vAlign w:val="center"/>
          </w:tcPr>
          <w:p w14:paraId="4C9A881D" w14:textId="77777777" w:rsidR="008A3126" w:rsidRPr="00EE7944" w:rsidRDefault="008A3126" w:rsidP="008A3126">
            <w:pPr>
              <w:jc w:val="center"/>
            </w:pPr>
            <w:r>
              <w:rPr>
                <w:noProof/>
                <w:lang w:eastAsia="nl-BE"/>
              </w:rPr>
              <w:drawing>
                <wp:inline distT="0" distB="0" distL="0" distR="0" wp14:anchorId="7180341D" wp14:editId="5E5C36BE">
                  <wp:extent cx="720000" cy="720000"/>
                  <wp:effectExtent l="0" t="0" r="4445" b="444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5F649FD8" w14:textId="77777777" w:rsidR="008A3126" w:rsidRDefault="008A3126" w:rsidP="00EE42AA">
            <w:r w:rsidRPr="008C12E2">
              <w:t xml:space="preserve">Artikelsgewijze </w:t>
            </w:r>
            <w:r w:rsidRPr="00380F1B">
              <w:rPr>
                <w:u w:val="single"/>
              </w:rPr>
              <w:t>verwijzingen naar het OCMW-decreet</w:t>
            </w:r>
            <w:r w:rsidRPr="008C12E2">
              <w:t xml:space="preserve"> moeten</w:t>
            </w:r>
            <w:r>
              <w:t xml:space="preserve"> </w:t>
            </w:r>
            <w:r w:rsidR="00214C0A">
              <w:t xml:space="preserve">worden </w:t>
            </w:r>
            <w:r>
              <w:t>vervangen door</w:t>
            </w:r>
            <w:r w:rsidRPr="008C12E2">
              <w:t xml:space="preserve"> </w:t>
            </w:r>
            <w:r w:rsidRPr="00444441">
              <w:rPr>
                <w:u w:val="single"/>
              </w:rPr>
              <w:t>verwijzingen naar het decreet over het lokaal bestuur</w:t>
            </w:r>
            <w:r w:rsidRPr="00807651">
              <w:t>.</w:t>
            </w:r>
          </w:p>
          <w:p w14:paraId="3254FD1B" w14:textId="77777777" w:rsidR="008A3126" w:rsidRDefault="008A3126" w:rsidP="00EE42AA"/>
          <w:p w14:paraId="017ED445" w14:textId="77777777" w:rsidR="008A3126" w:rsidRPr="00380F1B" w:rsidRDefault="008A3126" w:rsidP="00EE42AA">
            <w:pPr>
              <w:rPr>
                <w:i/>
              </w:rPr>
            </w:pPr>
            <w:r w:rsidRPr="00380F1B">
              <w:rPr>
                <w:i/>
              </w:rPr>
              <w:t>(</w:t>
            </w:r>
            <w:r>
              <w:rPr>
                <w:i/>
              </w:rPr>
              <w:t>A</w:t>
            </w:r>
            <w:r w:rsidRPr="00380F1B">
              <w:rPr>
                <w:i/>
              </w:rPr>
              <w:t xml:space="preserve">ls de statuten nog </w:t>
            </w:r>
            <w:r w:rsidR="00214C0A">
              <w:rPr>
                <w:i/>
              </w:rPr>
              <w:t xml:space="preserve">verwijzen </w:t>
            </w:r>
            <w:r w:rsidRPr="00380F1B">
              <w:rPr>
                <w:i/>
              </w:rPr>
              <w:t>naar artikels van het OCMW-decreet</w:t>
            </w:r>
            <w:r>
              <w:rPr>
                <w:i/>
              </w:rPr>
              <w:t xml:space="preserve"> (of mogelijk zelfs nog naar de OCMW-wet), moeten ze </w:t>
            </w:r>
            <w:r w:rsidR="00214C0A">
              <w:rPr>
                <w:i/>
              </w:rPr>
              <w:t xml:space="preserve">worden </w:t>
            </w:r>
            <w:r>
              <w:rPr>
                <w:i/>
              </w:rPr>
              <w:t>aangepast.</w:t>
            </w:r>
            <w:r w:rsidRPr="00380F1B">
              <w:rPr>
                <w:i/>
              </w:rPr>
              <w:t>)</w:t>
            </w:r>
          </w:p>
          <w:p w14:paraId="79A21E46" w14:textId="77777777" w:rsidR="008A3126" w:rsidRDefault="008A3126" w:rsidP="00EE42AA"/>
          <w:p w14:paraId="5B706102" w14:textId="77777777" w:rsidR="008A3126" w:rsidRPr="00380F1B" w:rsidRDefault="008A3126" w:rsidP="00EE42AA">
            <w:pPr>
              <w:rPr>
                <w:i/>
                <w:sz w:val="16"/>
                <w:szCs w:val="16"/>
              </w:rPr>
            </w:pPr>
            <w:r w:rsidRPr="00380F1B">
              <w:rPr>
                <w:sz w:val="16"/>
                <w:szCs w:val="16"/>
              </w:rPr>
              <w:t>(art. 474 tot</w:t>
            </w:r>
            <w:r w:rsidRPr="00380F1B">
              <w:rPr>
                <w:sz w:val="16"/>
                <w:szCs w:val="16"/>
                <w:lang w:val="nl-NL"/>
              </w:rPr>
              <w:t xml:space="preserve"> 495 DLB)</w:t>
            </w:r>
          </w:p>
          <w:p w14:paraId="01467F98" w14:textId="77777777" w:rsidR="008A3126" w:rsidRPr="00EE7944" w:rsidRDefault="008A3126" w:rsidP="00EE42AA">
            <w:pPr>
              <w:rPr>
                <w:lang w:val="nl-NL"/>
              </w:rPr>
            </w:pPr>
          </w:p>
        </w:tc>
      </w:tr>
      <w:tr w:rsidR="008A3126" w:rsidRPr="00EE7944" w14:paraId="6412A257" w14:textId="77777777" w:rsidTr="00EB7F96">
        <w:tc>
          <w:tcPr>
            <w:tcW w:w="1525" w:type="dxa"/>
            <w:vAlign w:val="center"/>
          </w:tcPr>
          <w:p w14:paraId="06A879D6" w14:textId="77777777" w:rsidR="008A3126" w:rsidRPr="00EE7944" w:rsidRDefault="008A3126" w:rsidP="008A3126">
            <w:pPr>
              <w:jc w:val="center"/>
            </w:pPr>
            <w:r>
              <w:rPr>
                <w:noProof/>
                <w:lang w:eastAsia="nl-BE"/>
              </w:rPr>
              <w:drawing>
                <wp:inline distT="0" distB="0" distL="0" distR="0" wp14:anchorId="12ACFAC2" wp14:editId="111C8EE4">
                  <wp:extent cx="720000" cy="720000"/>
                  <wp:effectExtent l="0" t="0" r="4445" b="444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vAlign w:val="center"/>
          </w:tcPr>
          <w:p w14:paraId="0856ACC6" w14:textId="77777777" w:rsidR="008A3126" w:rsidRDefault="008A3126" w:rsidP="00EE42AA">
            <w:r>
              <w:t>Bepalingen over de “</w:t>
            </w:r>
            <w:r w:rsidRPr="00380F1B">
              <w:rPr>
                <w:u w:val="single"/>
              </w:rPr>
              <w:t>OCMW-voorzitter</w:t>
            </w:r>
            <w:r>
              <w:t xml:space="preserve">” verduidelijken. </w:t>
            </w:r>
          </w:p>
          <w:p w14:paraId="002ECF3C" w14:textId="77777777" w:rsidR="008A3126" w:rsidRDefault="008A3126" w:rsidP="00EE42AA"/>
          <w:p w14:paraId="1ED0DB79" w14:textId="77777777" w:rsidR="008A3126" w:rsidRDefault="008A3126" w:rsidP="00EE42AA">
            <w:pPr>
              <w:rPr>
                <w:i/>
              </w:rPr>
            </w:pPr>
            <w:r w:rsidRPr="00380F1B">
              <w:rPr>
                <w:i/>
              </w:rPr>
              <w:t>(</w:t>
            </w:r>
            <w:r>
              <w:rPr>
                <w:i/>
              </w:rPr>
              <w:t>Het DLB kent drie verschillende “OCMW-voorzitters”:</w:t>
            </w:r>
            <w:r w:rsidRPr="00380F1B">
              <w:rPr>
                <w:i/>
              </w:rPr>
              <w:t xml:space="preserve"> </w:t>
            </w:r>
            <w:r>
              <w:rPr>
                <w:i/>
              </w:rPr>
              <w:t xml:space="preserve"> </w:t>
            </w:r>
          </w:p>
          <w:p w14:paraId="4D80624C" w14:textId="77777777" w:rsidR="008A3126" w:rsidRPr="00380F1B" w:rsidRDefault="008A3126" w:rsidP="00EE42AA">
            <w:pPr>
              <w:pStyle w:val="Lijstalinea"/>
              <w:numPr>
                <w:ilvl w:val="0"/>
                <w:numId w:val="37"/>
              </w:numPr>
              <w:rPr>
                <w:i/>
              </w:rPr>
            </w:pPr>
            <w:r w:rsidRPr="00380F1B">
              <w:rPr>
                <w:i/>
              </w:rPr>
              <w:t>voorzitter van de OCMW-raad,</w:t>
            </w:r>
          </w:p>
          <w:p w14:paraId="5147EA11" w14:textId="77777777" w:rsidR="008A3126" w:rsidRDefault="008A3126" w:rsidP="00EE42AA">
            <w:pPr>
              <w:pStyle w:val="Lijstalinea"/>
              <w:numPr>
                <w:ilvl w:val="0"/>
                <w:numId w:val="37"/>
              </w:numPr>
              <w:rPr>
                <w:i/>
              </w:rPr>
            </w:pPr>
            <w:r>
              <w:rPr>
                <w:i/>
              </w:rPr>
              <w:t xml:space="preserve">voorzitter </w:t>
            </w:r>
            <w:r w:rsidRPr="00380F1B">
              <w:rPr>
                <w:i/>
              </w:rPr>
              <w:t>van het vast bureau</w:t>
            </w:r>
            <w:r>
              <w:rPr>
                <w:i/>
              </w:rPr>
              <w:t>,</w:t>
            </w:r>
            <w:r w:rsidRPr="00380F1B">
              <w:rPr>
                <w:i/>
              </w:rPr>
              <w:t xml:space="preserve"> </w:t>
            </w:r>
          </w:p>
          <w:p w14:paraId="4EEB7846" w14:textId="77777777" w:rsidR="008A3126" w:rsidRPr="00380F1B" w:rsidRDefault="008A3126" w:rsidP="00EE42AA">
            <w:pPr>
              <w:pStyle w:val="Lijstalinea"/>
              <w:numPr>
                <w:ilvl w:val="0"/>
                <w:numId w:val="37"/>
              </w:numPr>
              <w:rPr>
                <w:i/>
              </w:rPr>
            </w:pPr>
            <w:r>
              <w:rPr>
                <w:i/>
              </w:rPr>
              <w:t xml:space="preserve">voorzitter </w:t>
            </w:r>
            <w:r w:rsidRPr="00380F1B">
              <w:rPr>
                <w:i/>
              </w:rPr>
              <w:t>van het</w:t>
            </w:r>
            <w:r>
              <w:rPr>
                <w:i/>
              </w:rPr>
              <w:t xml:space="preserve"> bijzonder comité voor de sociale dienst</w:t>
            </w:r>
            <w:r w:rsidRPr="00380F1B">
              <w:rPr>
                <w:i/>
              </w:rPr>
              <w:t>.</w:t>
            </w:r>
          </w:p>
          <w:p w14:paraId="3A71F710" w14:textId="77777777" w:rsidR="008A3126" w:rsidRPr="00380F1B" w:rsidRDefault="008A3126" w:rsidP="00EE42AA">
            <w:pPr>
              <w:rPr>
                <w:i/>
              </w:rPr>
            </w:pPr>
          </w:p>
          <w:p w14:paraId="411FEE4A" w14:textId="77777777" w:rsidR="008A3126" w:rsidRDefault="008A3126" w:rsidP="00EE42AA">
            <w:pPr>
              <w:rPr>
                <w:i/>
              </w:rPr>
            </w:pPr>
            <w:r w:rsidRPr="00380F1B">
              <w:rPr>
                <w:i/>
              </w:rPr>
              <w:t>Als de statuten bepalingen over de OCMW-voorzitter vermelden, is het wenselijk te verduidelijken</w:t>
            </w:r>
            <w:r w:rsidR="003F63BE">
              <w:rPr>
                <w:i/>
              </w:rPr>
              <w:t xml:space="preserve"> over welke voorzitter het gaat</w:t>
            </w:r>
            <w:r w:rsidRPr="00380F1B">
              <w:rPr>
                <w:i/>
              </w:rPr>
              <w:t xml:space="preserve">. </w:t>
            </w:r>
            <w:r w:rsidR="003F63BE">
              <w:rPr>
                <w:i/>
              </w:rPr>
              <w:t>Gebeurt</w:t>
            </w:r>
            <w:r w:rsidRPr="00380F1B">
              <w:rPr>
                <w:i/>
              </w:rPr>
              <w:t xml:space="preserve"> dat niet</w:t>
            </w:r>
            <w:r w:rsidR="003F63BE">
              <w:rPr>
                <w:i/>
              </w:rPr>
              <w:t>,</w:t>
            </w:r>
            <w:r w:rsidRPr="00380F1B">
              <w:rPr>
                <w:i/>
              </w:rPr>
              <w:t xml:space="preserve"> dan dreigt onduidelijkheid</w:t>
            </w:r>
            <w:r w:rsidRPr="004C3ADC">
              <w:rPr>
                <w:i/>
              </w:rPr>
              <w:t xml:space="preserve"> over wie bedoeld wordt</w:t>
            </w:r>
            <w:r>
              <w:rPr>
                <w:i/>
              </w:rPr>
              <w:t xml:space="preserve">. </w:t>
            </w:r>
          </w:p>
          <w:p w14:paraId="01055FAF" w14:textId="77777777" w:rsidR="008A3126" w:rsidRDefault="008A3126" w:rsidP="00EE42AA">
            <w:pPr>
              <w:rPr>
                <w:i/>
              </w:rPr>
            </w:pPr>
          </w:p>
          <w:p w14:paraId="46346509" w14:textId="77777777" w:rsidR="008A3126" w:rsidRDefault="008A3126" w:rsidP="00EE42AA">
            <w:pPr>
              <w:rPr>
                <w:i/>
              </w:rPr>
            </w:pPr>
            <w:r>
              <w:rPr>
                <w:i/>
              </w:rPr>
              <w:t>Opgelet voor de verenigingen waarvan een of meer van de zes randgemeenten of Voeren lid zijn. Daar blijft de OCMW-voorzitter bestaan zoals we die vandaag overal kennen. Dat maakt een juiste statutenwijziging nog iets complexer.)</w:t>
            </w:r>
          </w:p>
          <w:p w14:paraId="6314E768" w14:textId="77777777" w:rsidR="008A3126" w:rsidRDefault="008A3126" w:rsidP="00EE42AA">
            <w:r>
              <w:t xml:space="preserve"> </w:t>
            </w:r>
          </w:p>
          <w:p w14:paraId="33FE5D9E" w14:textId="77777777" w:rsidR="008A3126" w:rsidRPr="00380F1B" w:rsidRDefault="008A3126" w:rsidP="00EE42AA">
            <w:pPr>
              <w:rPr>
                <w:sz w:val="16"/>
                <w:szCs w:val="16"/>
              </w:rPr>
            </w:pPr>
            <w:r w:rsidRPr="00380F1B">
              <w:rPr>
                <w:sz w:val="16"/>
                <w:szCs w:val="16"/>
              </w:rPr>
              <w:t>(o.a. art. 69, 79, 86 en 90 DLB</w:t>
            </w:r>
            <w:r>
              <w:rPr>
                <w:sz w:val="16"/>
                <w:szCs w:val="16"/>
              </w:rPr>
              <w:t xml:space="preserve"> en voor de randgemeenten en Voeren o.a. art. 541, §1 DLB</w:t>
            </w:r>
            <w:r w:rsidRPr="00380F1B">
              <w:rPr>
                <w:sz w:val="16"/>
                <w:szCs w:val="16"/>
              </w:rPr>
              <w:t>)</w:t>
            </w:r>
          </w:p>
          <w:p w14:paraId="405A5243" w14:textId="77777777" w:rsidR="008A3126" w:rsidRPr="00EE7944" w:rsidRDefault="008A3126" w:rsidP="00EE42AA">
            <w:pPr>
              <w:rPr>
                <w:lang w:val="nl-NL"/>
              </w:rPr>
            </w:pPr>
          </w:p>
        </w:tc>
      </w:tr>
      <w:tr w:rsidR="008A3126" w:rsidRPr="00EE7944" w14:paraId="7B2A4F79" w14:textId="77777777" w:rsidTr="00EB7F96">
        <w:tc>
          <w:tcPr>
            <w:tcW w:w="1525" w:type="dxa"/>
            <w:vAlign w:val="center"/>
          </w:tcPr>
          <w:p w14:paraId="39EAC0D1" w14:textId="77777777" w:rsidR="008A3126" w:rsidRPr="00EE7944" w:rsidRDefault="008A3126" w:rsidP="008A3126">
            <w:pPr>
              <w:jc w:val="center"/>
            </w:pPr>
            <w:r>
              <w:rPr>
                <w:noProof/>
                <w:lang w:eastAsia="nl-BE"/>
              </w:rPr>
              <w:drawing>
                <wp:inline distT="0" distB="0" distL="0" distR="0" wp14:anchorId="0FA26CF7" wp14:editId="653AF2AE">
                  <wp:extent cx="720000" cy="720000"/>
                  <wp:effectExtent l="0" t="0" r="4445" b="444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7DF3EA43" w14:textId="77777777" w:rsidR="008A3126" w:rsidRDefault="008A3126" w:rsidP="00EE42AA">
            <w:r>
              <w:t>Bepalingen over de</w:t>
            </w:r>
            <w:r w:rsidRPr="008C12E2">
              <w:t xml:space="preserve"> </w:t>
            </w:r>
            <w:r>
              <w:t>“</w:t>
            </w:r>
            <w:r w:rsidRPr="00380F1B">
              <w:rPr>
                <w:u w:val="single"/>
              </w:rPr>
              <w:t>OCMW-secretaris</w:t>
            </w:r>
            <w:r>
              <w:t xml:space="preserve">” aanpassen. </w:t>
            </w:r>
          </w:p>
          <w:p w14:paraId="116F1277" w14:textId="77777777" w:rsidR="008A3126" w:rsidRDefault="008A3126" w:rsidP="00EE42AA"/>
          <w:p w14:paraId="6D241819" w14:textId="77777777" w:rsidR="008A3126" w:rsidRPr="00380F1B" w:rsidRDefault="008A3126" w:rsidP="00EE42AA">
            <w:pPr>
              <w:rPr>
                <w:i/>
              </w:rPr>
            </w:pPr>
            <w:r w:rsidRPr="00380F1B">
              <w:rPr>
                <w:i/>
              </w:rPr>
              <w:t xml:space="preserve">(Als de statuten bepalingen over de OCMW-secretaris vermelden, moet  </w:t>
            </w:r>
            <w:r w:rsidR="003F63BE">
              <w:rPr>
                <w:i/>
              </w:rPr>
              <w:t>dat</w:t>
            </w:r>
            <w:r w:rsidRPr="00380F1B">
              <w:rPr>
                <w:i/>
              </w:rPr>
              <w:t xml:space="preserve"> </w:t>
            </w:r>
            <w:r w:rsidR="003F63BE">
              <w:rPr>
                <w:i/>
              </w:rPr>
              <w:t>worden aangepast</w:t>
            </w:r>
            <w:r w:rsidRPr="00380F1B">
              <w:rPr>
                <w:i/>
              </w:rPr>
              <w:t>. Er zijn immers geen secretarissen meer, wel algemeen directeurs aangesteld door de gemeente.)</w:t>
            </w:r>
          </w:p>
          <w:p w14:paraId="1CBD721E" w14:textId="77777777" w:rsidR="008A3126" w:rsidRDefault="008A3126" w:rsidP="00EE42AA">
            <w:pPr>
              <w:rPr>
                <w:sz w:val="16"/>
                <w:szCs w:val="16"/>
              </w:rPr>
            </w:pPr>
            <w:r>
              <w:br/>
            </w:r>
            <w:r w:rsidRPr="00380F1B">
              <w:rPr>
                <w:sz w:val="16"/>
                <w:szCs w:val="16"/>
              </w:rPr>
              <w:t>(o.a. art. 162 DLB)</w:t>
            </w:r>
          </w:p>
          <w:p w14:paraId="2ACFA644" w14:textId="77777777" w:rsidR="008A3126" w:rsidRPr="00380F1B" w:rsidRDefault="008A3126" w:rsidP="00EE42AA">
            <w:pPr>
              <w:rPr>
                <w:sz w:val="16"/>
                <w:szCs w:val="16"/>
              </w:rPr>
            </w:pPr>
          </w:p>
        </w:tc>
      </w:tr>
      <w:tr w:rsidR="008A3126" w:rsidRPr="00EE7944" w14:paraId="32E0DE76" w14:textId="77777777" w:rsidTr="00EB7F96">
        <w:tc>
          <w:tcPr>
            <w:tcW w:w="1525" w:type="dxa"/>
            <w:vAlign w:val="center"/>
          </w:tcPr>
          <w:p w14:paraId="2137CDD2" w14:textId="77777777" w:rsidR="008A3126" w:rsidRPr="00EE7944" w:rsidRDefault="008A3126" w:rsidP="008A3126">
            <w:pPr>
              <w:jc w:val="center"/>
            </w:pPr>
            <w:r>
              <w:rPr>
                <w:noProof/>
                <w:lang w:eastAsia="nl-BE"/>
              </w:rPr>
              <w:lastRenderedPageBreak/>
              <w:drawing>
                <wp:inline distT="0" distB="0" distL="0" distR="0" wp14:anchorId="217CEAD5" wp14:editId="5049BD40">
                  <wp:extent cx="720000" cy="720000"/>
                  <wp:effectExtent l="0" t="0" r="4445" b="444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74DFA450" w14:textId="77777777" w:rsidR="008A3126" w:rsidRDefault="008A3126" w:rsidP="00EE42AA">
            <w:pPr>
              <w:rPr>
                <w:lang w:val="nl-NL"/>
              </w:rPr>
            </w:pPr>
            <w:r>
              <w:rPr>
                <w:lang w:val="nl-NL"/>
              </w:rPr>
              <w:t>Bepalingen over de “</w:t>
            </w:r>
            <w:r w:rsidRPr="00380F1B">
              <w:rPr>
                <w:u w:val="single"/>
                <w:lang w:val="nl-NL"/>
              </w:rPr>
              <w:t>financieel beheerder</w:t>
            </w:r>
            <w:r>
              <w:rPr>
                <w:lang w:val="nl-NL"/>
              </w:rPr>
              <w:t xml:space="preserve">” aanpassen. </w:t>
            </w:r>
          </w:p>
          <w:p w14:paraId="42AF85A7" w14:textId="77777777" w:rsidR="008A3126" w:rsidRDefault="008A3126" w:rsidP="00EE42AA">
            <w:pPr>
              <w:rPr>
                <w:lang w:val="nl-NL"/>
              </w:rPr>
            </w:pPr>
          </w:p>
          <w:p w14:paraId="62A7236B" w14:textId="77777777" w:rsidR="008A3126" w:rsidRPr="000E7472" w:rsidRDefault="008A3126" w:rsidP="00EE42AA">
            <w:pPr>
              <w:rPr>
                <w:i/>
              </w:rPr>
            </w:pPr>
            <w:r w:rsidRPr="000E7472">
              <w:rPr>
                <w:i/>
              </w:rPr>
              <w:t xml:space="preserve">(Als de statuten bepalingen over de </w:t>
            </w:r>
            <w:r>
              <w:rPr>
                <w:i/>
              </w:rPr>
              <w:t>financieel beheerder van het OCMW</w:t>
            </w:r>
            <w:r w:rsidRPr="000E7472">
              <w:rPr>
                <w:i/>
              </w:rPr>
              <w:t xml:space="preserve"> vermelden, moet </w:t>
            </w:r>
            <w:r w:rsidR="003F63BE">
              <w:rPr>
                <w:i/>
              </w:rPr>
              <w:t>dat worden aangepast</w:t>
            </w:r>
            <w:r w:rsidRPr="000E7472">
              <w:rPr>
                <w:i/>
              </w:rPr>
              <w:t xml:space="preserve">. Er zijn immers geen </w:t>
            </w:r>
            <w:r>
              <w:rPr>
                <w:i/>
              </w:rPr>
              <w:t>financieel beheerders</w:t>
            </w:r>
            <w:r w:rsidRPr="000E7472">
              <w:rPr>
                <w:i/>
              </w:rPr>
              <w:t xml:space="preserve"> meer, wel </w:t>
            </w:r>
            <w:r>
              <w:rPr>
                <w:i/>
              </w:rPr>
              <w:t>financieel</w:t>
            </w:r>
            <w:r w:rsidRPr="000E7472">
              <w:rPr>
                <w:i/>
              </w:rPr>
              <w:t xml:space="preserve"> directeurs aangesteld door de gemeente.)</w:t>
            </w:r>
          </w:p>
          <w:p w14:paraId="4106B236" w14:textId="77777777" w:rsidR="008A3126" w:rsidRDefault="008A3126" w:rsidP="00EE42AA"/>
          <w:p w14:paraId="38EFA280" w14:textId="77777777" w:rsidR="008A3126" w:rsidRDefault="008A3126" w:rsidP="00EE42AA">
            <w:pPr>
              <w:rPr>
                <w:sz w:val="16"/>
                <w:szCs w:val="16"/>
                <w:lang w:val="nl-NL"/>
              </w:rPr>
            </w:pPr>
            <w:r w:rsidRPr="00380F1B">
              <w:rPr>
                <w:sz w:val="16"/>
                <w:szCs w:val="16"/>
              </w:rPr>
              <w:t>(o.a. art. 162 DLB)</w:t>
            </w:r>
          </w:p>
          <w:p w14:paraId="5C39DD05" w14:textId="77777777" w:rsidR="008A3126" w:rsidRPr="00380F1B" w:rsidRDefault="008A3126" w:rsidP="00EE42AA">
            <w:pPr>
              <w:rPr>
                <w:sz w:val="16"/>
                <w:szCs w:val="16"/>
              </w:rPr>
            </w:pPr>
          </w:p>
        </w:tc>
      </w:tr>
    </w:tbl>
    <w:p w14:paraId="77C31FF1" w14:textId="77777777" w:rsidR="008C12E2" w:rsidRDefault="008C12E2" w:rsidP="00380F1B"/>
    <w:p w14:paraId="13AD60E8" w14:textId="77777777" w:rsidR="008C12E2" w:rsidRDefault="008C12E2" w:rsidP="00B353F2"/>
    <w:p w14:paraId="7D6B5D99" w14:textId="77777777" w:rsidR="00224BF1" w:rsidRDefault="009A0724" w:rsidP="00DF07B2">
      <w:pPr>
        <w:pStyle w:val="Kop3"/>
      </w:pPr>
      <w:r>
        <w:t>N</w:t>
      </w:r>
      <w:r w:rsidR="00AB5E42">
        <w:t>ieuwe</w:t>
      </w:r>
      <w:r w:rsidR="00224BF1">
        <w:t xml:space="preserve"> regels over </w:t>
      </w:r>
      <w:r w:rsidR="00F50558">
        <w:t>de bestuursorganen</w:t>
      </w:r>
      <w:r w:rsidR="00F50558" w:rsidDel="00F50558">
        <w:t xml:space="preserve"> </w:t>
      </w:r>
      <w:bookmarkStart w:id="0" w:name="_Hlk508362118"/>
    </w:p>
    <w:p w14:paraId="1AF2B510" w14:textId="77777777" w:rsidR="008C12E2" w:rsidRPr="00444441" w:rsidRDefault="00224BF1" w:rsidP="00444441">
      <w:pPr>
        <w:pStyle w:val="Kop2"/>
        <w:numPr>
          <w:ilvl w:val="0"/>
          <w:numId w:val="0"/>
        </w:numPr>
        <w:rPr>
          <w:sz w:val="20"/>
          <w:szCs w:val="20"/>
        </w:rPr>
      </w:pPr>
      <w:r w:rsidRPr="00444441">
        <w:rPr>
          <w:sz w:val="20"/>
          <w:szCs w:val="20"/>
        </w:rPr>
        <w:t xml:space="preserve">Meer </w:t>
      </w:r>
      <w:r w:rsidR="008C12E2" w:rsidRPr="00444441">
        <w:rPr>
          <w:sz w:val="20"/>
          <w:szCs w:val="20"/>
        </w:rPr>
        <w:t xml:space="preserve">info: </w:t>
      </w:r>
      <w:hyperlink r:id="rId17" w:history="1">
        <w:r w:rsidR="006B5A4C" w:rsidRPr="00444441">
          <w:rPr>
            <w:rStyle w:val="Hyperlink"/>
            <w:sz w:val="20"/>
            <w:szCs w:val="20"/>
          </w:rPr>
          <w:t>pieter.vanderstappen@vvsg.be</w:t>
        </w:r>
      </w:hyperlink>
    </w:p>
    <w:p w14:paraId="6C18F1AA" w14:textId="77777777" w:rsidR="008A3126" w:rsidRDefault="008A3126" w:rsidP="008A3126">
      <w:r w:rsidRPr="008C12E2">
        <w:t xml:space="preserve">Het </w:t>
      </w:r>
      <w:r>
        <w:t>DLB</w:t>
      </w:r>
      <w:r w:rsidRPr="008C12E2">
        <w:t xml:space="preserve"> </w:t>
      </w:r>
      <w:r>
        <w:t xml:space="preserve">brengt enkele wijzigingen over </w:t>
      </w:r>
      <w:r w:rsidRPr="00444441">
        <w:rPr>
          <w:b/>
          <w:u w:val="single"/>
        </w:rPr>
        <w:t xml:space="preserve">het </w:t>
      </w:r>
      <w:r>
        <w:rPr>
          <w:b/>
          <w:u w:val="single"/>
        </w:rPr>
        <w:t xml:space="preserve">politieke </w:t>
      </w:r>
      <w:r w:rsidRPr="00444441">
        <w:rPr>
          <w:b/>
          <w:u w:val="single"/>
        </w:rPr>
        <w:t>bestuur</w:t>
      </w:r>
      <w:r>
        <w:t xml:space="preserve"> van een publiekrechtelijke OCMW-vereniging.</w:t>
      </w:r>
      <w:r w:rsidRPr="008C12E2">
        <w:t xml:space="preserve"> </w:t>
      </w:r>
      <w:r w:rsidR="003F63BE">
        <w:t>De vereniging</w:t>
      </w:r>
      <w:r>
        <w:t xml:space="preserve"> zal de </w:t>
      </w:r>
      <w:r w:rsidRPr="00444441">
        <w:rPr>
          <w:b/>
          <w:u w:val="single"/>
        </w:rPr>
        <w:t>statuten</w:t>
      </w:r>
      <w:r>
        <w:t xml:space="preserve"> moeten nagaan op twee vlakken:</w:t>
      </w:r>
    </w:p>
    <w:p w14:paraId="13FBF235" w14:textId="77777777" w:rsidR="008A3126" w:rsidRDefault="008A3126" w:rsidP="008A3126"/>
    <w:p w14:paraId="4387A103" w14:textId="77777777" w:rsidR="008A3126" w:rsidRDefault="008A3126" w:rsidP="008A3126">
      <w:pPr>
        <w:pStyle w:val="Lijstalinea"/>
        <w:numPr>
          <w:ilvl w:val="0"/>
          <w:numId w:val="38"/>
        </w:numPr>
      </w:pPr>
      <w:r>
        <w:t xml:space="preserve">Bevatten de statuten bepalingen die tegenstrijdig zijn aan de nieuwe regels? Dan moeten deze </w:t>
      </w:r>
      <w:r w:rsidR="003F63BE">
        <w:t xml:space="preserve">worden </w:t>
      </w:r>
      <w:r>
        <w:t>aangepast.</w:t>
      </w:r>
    </w:p>
    <w:p w14:paraId="4538CE0D" w14:textId="77777777" w:rsidR="008A3126" w:rsidRDefault="008A3126" w:rsidP="008A3126">
      <w:pPr>
        <w:pStyle w:val="Lijstalinea"/>
        <w:numPr>
          <w:ilvl w:val="0"/>
          <w:numId w:val="38"/>
        </w:numPr>
      </w:pPr>
      <w:r>
        <w:t xml:space="preserve">Is het zinvol om van de nieuwe regels gebruik te maken? En moeten die dan </w:t>
      </w:r>
      <w:r w:rsidR="003F63BE">
        <w:t xml:space="preserve">worden </w:t>
      </w:r>
      <w:r>
        <w:t>opgenomen?</w:t>
      </w:r>
    </w:p>
    <w:p w14:paraId="2F459A05" w14:textId="77777777" w:rsidR="008A3126" w:rsidRPr="008C12E2" w:rsidRDefault="008A3126" w:rsidP="008A3126">
      <w:pPr>
        <w:rPr>
          <w:lang w:val="nl-NL"/>
        </w:rPr>
      </w:pPr>
      <w:r>
        <w:br/>
      </w:r>
      <w:r>
        <w:rPr>
          <w:lang w:val="nl-NL"/>
        </w:rPr>
        <w:t>De nieuwe regels nemen echter grotendeels de bestaande bepalingen over.</w:t>
      </w:r>
      <w:r w:rsidRPr="008C12E2">
        <w:rPr>
          <w:lang w:val="nl-NL"/>
        </w:rPr>
        <w:t xml:space="preserve"> </w:t>
      </w:r>
      <w:r>
        <w:rPr>
          <w:lang w:val="nl-NL"/>
        </w:rPr>
        <w:t>Dus mogelijk moet er ook niet meteen iets</w:t>
      </w:r>
      <w:r w:rsidR="003F63BE">
        <w:rPr>
          <w:lang w:val="nl-NL"/>
        </w:rPr>
        <w:t xml:space="preserve"> worden</w:t>
      </w:r>
      <w:r>
        <w:rPr>
          <w:lang w:val="nl-NL"/>
        </w:rPr>
        <w:t xml:space="preserve"> aangepast:</w:t>
      </w:r>
    </w:p>
    <w:p w14:paraId="1C328EBB" w14:textId="77777777" w:rsidR="006B5A4C" w:rsidRDefault="006B5A4C" w:rsidP="008C12E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6804"/>
      </w:tblGrid>
      <w:tr w:rsidR="008A3126" w:rsidRPr="008C12E2" w14:paraId="228A481C" w14:textId="77777777" w:rsidTr="00C150E9">
        <w:tc>
          <w:tcPr>
            <w:tcW w:w="1531" w:type="dxa"/>
            <w:vAlign w:val="center"/>
          </w:tcPr>
          <w:p w14:paraId="5A9A5866" w14:textId="77777777" w:rsidR="008A3126" w:rsidRPr="008C12E2" w:rsidRDefault="008A3126" w:rsidP="008A3126">
            <w:pPr>
              <w:jc w:val="center"/>
            </w:pPr>
            <w:bookmarkStart w:id="1" w:name="_Hlk508363042"/>
            <w:bookmarkEnd w:id="0"/>
            <w:r>
              <w:rPr>
                <w:noProof/>
                <w:lang w:eastAsia="nl-BE"/>
              </w:rPr>
              <w:drawing>
                <wp:inline distT="0" distB="0" distL="0" distR="0" wp14:anchorId="37EE3237" wp14:editId="48094C62">
                  <wp:extent cx="720000" cy="720000"/>
                  <wp:effectExtent l="0" t="0" r="4445" b="444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vAlign w:val="center"/>
          </w:tcPr>
          <w:p w14:paraId="6E3E314B" w14:textId="77777777" w:rsidR="008A3126" w:rsidRDefault="003F63BE" w:rsidP="00EE42AA">
            <w:r w:rsidRPr="003F63BE">
              <w:t xml:space="preserve">Wanneer de welzijnsvereniging met </w:t>
            </w:r>
            <w:r w:rsidRPr="00DF07B2">
              <w:rPr>
                <w:u w:val="single"/>
              </w:rPr>
              <w:t>onafhankelijke bestuurders</w:t>
            </w:r>
            <w:r w:rsidRPr="003F63BE">
              <w:t xml:space="preserve"> gaat werken, kan het zinvol zijn om dat in de statuten te vermelden, samen met het aantal onafhankelijke bestuurders.</w:t>
            </w:r>
            <w:r>
              <w:t xml:space="preserve"> </w:t>
            </w:r>
          </w:p>
          <w:p w14:paraId="62F60E31" w14:textId="77777777" w:rsidR="008A3126" w:rsidRDefault="008A3126" w:rsidP="00EE42AA"/>
          <w:p w14:paraId="148B6910" w14:textId="77777777" w:rsidR="008A3126" w:rsidRPr="00444441" w:rsidRDefault="008A3126" w:rsidP="00EE42AA">
            <w:pPr>
              <w:rPr>
                <w:i/>
              </w:rPr>
            </w:pPr>
            <w:r w:rsidRPr="00444441">
              <w:rPr>
                <w:i/>
              </w:rPr>
              <w:t xml:space="preserve">(Het DLB voorziet dat de algemene vergadering onafhankelijke bestuurders kan aanstellen als stemgerechtigde volwaardige leden van de raad van bestuur. </w:t>
            </w:r>
          </w:p>
          <w:p w14:paraId="434A3692" w14:textId="77777777" w:rsidR="008A3126" w:rsidRDefault="008A3126" w:rsidP="00EE42AA">
            <w:r w:rsidRPr="00444441">
              <w:rPr>
                <w:i/>
              </w:rPr>
              <w:t>Daarvoor doet de raad van bestuur een open oproep tot kandidaatstelling. De raad van bestuur stelt de vereisten vast waaraan de kandidaat onafhankelijke bestuurders moeten voldoen (kennis, ervaring, bekwaamheden</w:t>
            </w:r>
            <w:r w:rsidR="003F63BE">
              <w:rPr>
                <w:i/>
              </w:rPr>
              <w:t>)</w:t>
            </w:r>
            <w:r w:rsidRPr="00444441">
              <w:rPr>
                <w:i/>
              </w:rPr>
              <w:t>. Als de vereniging zo wil werken, kan dat best duidelijk opgenomen worden in de statuten</w:t>
            </w:r>
            <w:r>
              <w:t>.)</w:t>
            </w:r>
          </w:p>
          <w:p w14:paraId="111C5BE1" w14:textId="77777777" w:rsidR="008A3126" w:rsidRDefault="008A3126" w:rsidP="00EE42AA"/>
          <w:p w14:paraId="07FD7C3E" w14:textId="77777777" w:rsidR="008A3126" w:rsidRPr="00380F1B" w:rsidRDefault="008A3126" w:rsidP="00EE42AA">
            <w:pPr>
              <w:rPr>
                <w:sz w:val="16"/>
                <w:szCs w:val="16"/>
              </w:rPr>
            </w:pPr>
            <w:r>
              <w:rPr>
                <w:sz w:val="16"/>
                <w:szCs w:val="16"/>
              </w:rPr>
              <w:t>(art. 477 en 484, §2 DLB)</w:t>
            </w:r>
          </w:p>
          <w:p w14:paraId="2293FE2A" w14:textId="77777777" w:rsidR="008A3126" w:rsidRPr="002E0492" w:rsidRDefault="008A3126" w:rsidP="00EE42AA">
            <w:pPr>
              <w:rPr>
                <w:lang w:val="nl-NL"/>
              </w:rPr>
            </w:pPr>
          </w:p>
        </w:tc>
      </w:tr>
      <w:tr w:rsidR="008A3126" w:rsidRPr="008C12E2" w14:paraId="42AF0390" w14:textId="77777777" w:rsidTr="00C150E9">
        <w:tc>
          <w:tcPr>
            <w:tcW w:w="1531" w:type="dxa"/>
            <w:vAlign w:val="center"/>
          </w:tcPr>
          <w:p w14:paraId="2DFD0C27" w14:textId="77777777" w:rsidR="008A3126" w:rsidRPr="008C12E2" w:rsidRDefault="008A3126" w:rsidP="008A3126">
            <w:pPr>
              <w:jc w:val="center"/>
            </w:pPr>
            <w:r>
              <w:rPr>
                <w:noProof/>
                <w:lang w:eastAsia="nl-BE"/>
              </w:rPr>
              <w:lastRenderedPageBreak/>
              <w:drawing>
                <wp:inline distT="0" distB="0" distL="0" distR="0" wp14:anchorId="27C434BA" wp14:editId="2D279757">
                  <wp:extent cx="720000" cy="720000"/>
                  <wp:effectExtent l="0" t="0" r="4445" b="4445"/>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r>
              <w:br/>
            </w:r>
            <w:r>
              <w:rPr>
                <w:noProof/>
                <w:lang w:eastAsia="nl-BE"/>
              </w:rPr>
              <w:drawing>
                <wp:inline distT="0" distB="0" distL="0" distR="0" wp14:anchorId="62E5C14A" wp14:editId="2335282C">
                  <wp:extent cx="720000" cy="720000"/>
                  <wp:effectExtent l="0" t="0" r="4445" b="4445"/>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vAlign w:val="center"/>
          </w:tcPr>
          <w:p w14:paraId="5FC7ED90" w14:textId="77777777" w:rsidR="008A3126" w:rsidRDefault="008A3126" w:rsidP="00EE42AA">
            <w:r>
              <w:t xml:space="preserve">Het kan zinvol zijn om in de statuten te vermelden dat de raad </w:t>
            </w:r>
            <w:r w:rsidR="00FB309C">
              <w:t xml:space="preserve">van </w:t>
            </w:r>
            <w:r>
              <w:t xml:space="preserve">bestuur bijgestaan kan worden door </w:t>
            </w:r>
            <w:r>
              <w:rPr>
                <w:u w:val="single"/>
              </w:rPr>
              <w:t>deskundigen</w:t>
            </w:r>
            <w:r>
              <w:t>.</w:t>
            </w:r>
          </w:p>
          <w:p w14:paraId="13F18C66" w14:textId="77777777" w:rsidR="008A3126" w:rsidRDefault="008A3126" w:rsidP="00EE42AA"/>
          <w:p w14:paraId="34A3EBCA" w14:textId="77777777" w:rsidR="008A3126" w:rsidRPr="00380F1B" w:rsidRDefault="008A3126" w:rsidP="00EE42AA">
            <w:pPr>
              <w:rPr>
                <w:i/>
              </w:rPr>
            </w:pPr>
            <w:r w:rsidRPr="00380F1B">
              <w:rPr>
                <w:i/>
              </w:rPr>
              <w:t xml:space="preserve">(Naast onafhankelijke bestuurders kan de algemene vergadering </w:t>
            </w:r>
            <w:r w:rsidRPr="00444441">
              <w:rPr>
                <w:i/>
              </w:rPr>
              <w:t>deskundigen</w:t>
            </w:r>
            <w:r w:rsidRPr="00380F1B">
              <w:rPr>
                <w:i/>
              </w:rPr>
              <w:t xml:space="preserve"> aanstellen, die na gezamenlijk overleg voorgedragen worden door de raad van bestuur.  De</w:t>
            </w:r>
            <w:r>
              <w:rPr>
                <w:i/>
              </w:rPr>
              <w:t>ze</w:t>
            </w:r>
            <w:r w:rsidRPr="00380F1B">
              <w:rPr>
                <w:i/>
              </w:rPr>
              <w:t xml:space="preserve"> deskundigen zetelen in de raad van bestuur met </w:t>
            </w:r>
            <w:r w:rsidRPr="00B77809">
              <w:rPr>
                <w:i/>
              </w:rPr>
              <w:t>raadgevende</w:t>
            </w:r>
            <w:r w:rsidRPr="00380F1B">
              <w:rPr>
                <w:i/>
              </w:rPr>
              <w:t xml:space="preserve"> stem.</w:t>
            </w:r>
            <w:r>
              <w:rPr>
                <w:i/>
              </w:rPr>
              <w:t xml:space="preserve"> Dat staat vandaag niet in het OCMW-decreet, maar sommige verenigingen werken al zo. Mogelijk moeten zij de terminologie aanpassen.)</w:t>
            </w:r>
          </w:p>
          <w:p w14:paraId="0F9969D8" w14:textId="77777777" w:rsidR="008A3126" w:rsidRDefault="008A3126" w:rsidP="00EE42AA"/>
          <w:p w14:paraId="0B7E458F" w14:textId="77777777" w:rsidR="008A3126" w:rsidRPr="000E7472" w:rsidRDefault="008A3126" w:rsidP="00EE42AA">
            <w:pPr>
              <w:rPr>
                <w:sz w:val="16"/>
                <w:szCs w:val="16"/>
              </w:rPr>
            </w:pPr>
            <w:r>
              <w:rPr>
                <w:sz w:val="16"/>
                <w:szCs w:val="16"/>
              </w:rPr>
              <w:t>(art. 477 en 484, §3 DLB)</w:t>
            </w:r>
          </w:p>
          <w:p w14:paraId="063F3A5F" w14:textId="77777777" w:rsidR="008A3126" w:rsidRPr="008C12E2" w:rsidRDefault="008A3126" w:rsidP="00EE42AA">
            <w:pPr>
              <w:rPr>
                <w:lang w:val="nl-NL"/>
              </w:rPr>
            </w:pPr>
          </w:p>
        </w:tc>
      </w:tr>
      <w:tr w:rsidR="008A3126" w:rsidRPr="008C12E2" w14:paraId="1C6046FA" w14:textId="77777777" w:rsidTr="00C150E9">
        <w:tc>
          <w:tcPr>
            <w:tcW w:w="1531" w:type="dxa"/>
            <w:vAlign w:val="center"/>
          </w:tcPr>
          <w:p w14:paraId="4F2875DE" w14:textId="77777777" w:rsidR="008A3126" w:rsidRPr="008C12E2" w:rsidRDefault="008A3126" w:rsidP="008A3126">
            <w:pPr>
              <w:jc w:val="center"/>
            </w:pPr>
            <w:r>
              <w:rPr>
                <w:noProof/>
                <w:lang w:eastAsia="nl-BE"/>
              </w:rPr>
              <w:drawing>
                <wp:inline distT="0" distB="0" distL="0" distR="0" wp14:anchorId="4952F63A" wp14:editId="0EBCEB89">
                  <wp:extent cx="720000" cy="720000"/>
                  <wp:effectExtent l="0" t="0" r="4445" b="4445"/>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5E3E9539" w14:textId="6B07F15F" w:rsidR="008A3126" w:rsidRPr="00B553BA" w:rsidRDefault="008A3126" w:rsidP="00EE42AA">
            <w:pPr>
              <w:rPr>
                <w:u w:val="single"/>
              </w:rPr>
            </w:pPr>
            <w:r w:rsidRPr="00B553BA">
              <w:t xml:space="preserve">Verenigingen die enkel publieke deelgenoten hebben, </w:t>
            </w:r>
            <w:r w:rsidR="00DF07B2" w:rsidRPr="00B553BA">
              <w:t xml:space="preserve">mogen </w:t>
            </w:r>
            <w:r w:rsidR="00B553BA" w:rsidRPr="00B553BA">
              <w:t>vanaf de vernieuwing van de raad van bestuur naar aanleiding van de gemeenteraadsverkiezingen van 2018</w:t>
            </w:r>
            <w:r w:rsidR="00B553BA">
              <w:t xml:space="preserve"> maar </w:t>
            </w:r>
            <w:r w:rsidRPr="00B553BA">
              <w:t xml:space="preserve">een </w:t>
            </w:r>
            <w:r w:rsidRPr="00B553BA">
              <w:rPr>
                <w:u w:val="single"/>
              </w:rPr>
              <w:t xml:space="preserve">raad van bestuur hebben van maximaal 15 leden. </w:t>
            </w:r>
          </w:p>
          <w:p w14:paraId="21EF81CD" w14:textId="77777777" w:rsidR="008A3126" w:rsidRPr="00B553BA" w:rsidRDefault="008A3126" w:rsidP="00EE42AA"/>
          <w:p w14:paraId="7C5363FF" w14:textId="77777777" w:rsidR="0040217D" w:rsidRPr="00B553BA" w:rsidRDefault="008A3126" w:rsidP="00EE42AA">
            <w:pPr>
              <w:rPr>
                <w:i/>
              </w:rPr>
            </w:pPr>
            <w:r w:rsidRPr="00B553BA">
              <w:rPr>
                <w:i/>
              </w:rPr>
              <w:t xml:space="preserve">(Wie meer dan 15 leden heeft in de raad van bestuur en enkel openbare leden heeft als deelgenoot, zal dat moeten oplossen. </w:t>
            </w:r>
            <w:r w:rsidR="007D3C5D" w:rsidRPr="00B553BA">
              <w:rPr>
                <w:i/>
              </w:rPr>
              <w:t xml:space="preserve">Dit kan problemen stellen voor grote verenigingen met meer dan 15 deelgenoten, omdat dan niet meer alle deelgenoten vertegenwoordigd zijn in de raad van bestuur. Een mogelijke oplossing kan zijn </w:t>
            </w:r>
            <w:r w:rsidRPr="00B553BA">
              <w:rPr>
                <w:i/>
              </w:rPr>
              <w:t>de raad van bestuur te beperken</w:t>
            </w:r>
            <w:r w:rsidR="007D3C5D" w:rsidRPr="00B553BA">
              <w:rPr>
                <w:i/>
              </w:rPr>
              <w:t xml:space="preserve"> en de structuur van de vereniging te herdenken. Nu is het zo dat de meeste bevoegdheden bij de raad van bestuur gelegd worden. Deze bevoegdheden kunnen worden verschoven naar de algemene vergadering, waardoor het grootste deel van beslissingsmacht bij de algemene vergadering ligt (waar iedere deelgenoot per definitie in vertegenwoordigd is) en de raad van beheer meer als een dagelijks bestuur fungeert .</w:t>
            </w:r>
            <w:r w:rsidRPr="00B553BA">
              <w:rPr>
                <w:i/>
              </w:rPr>
              <w:t xml:space="preserve"> </w:t>
            </w:r>
          </w:p>
          <w:p w14:paraId="26301544" w14:textId="0B492E2E" w:rsidR="008A3126" w:rsidRPr="00B553BA" w:rsidRDefault="007D3C5D" w:rsidP="00EE42AA">
            <w:pPr>
              <w:rPr>
                <w:i/>
              </w:rPr>
            </w:pPr>
            <w:r w:rsidRPr="00B553BA">
              <w:rPr>
                <w:i/>
              </w:rPr>
              <w:t xml:space="preserve">Een andere mogelijke oplossing </w:t>
            </w:r>
            <w:r w:rsidR="00C17C0D" w:rsidRPr="00B553BA">
              <w:rPr>
                <w:i/>
              </w:rPr>
              <w:t>zou kunnen zijn</w:t>
            </w:r>
            <w:r w:rsidRPr="00B553BA">
              <w:rPr>
                <w:i/>
              </w:rPr>
              <w:t xml:space="preserve"> om </w:t>
            </w:r>
            <w:r w:rsidR="008A3126" w:rsidRPr="00B553BA">
              <w:rPr>
                <w:i/>
              </w:rPr>
              <w:t xml:space="preserve">een niet-publieke deelgenoot (vzw, CAW,…) te laten participeren in de vereniging. </w:t>
            </w:r>
            <w:r w:rsidR="00342D5B" w:rsidRPr="00B553BA">
              <w:rPr>
                <w:i/>
              </w:rPr>
              <w:t>Uiteraard is het belangrijk dit goed te motiveren.</w:t>
            </w:r>
          </w:p>
          <w:p w14:paraId="1DAC8D46" w14:textId="77777777" w:rsidR="007D3C5D" w:rsidRPr="00B553BA" w:rsidRDefault="007D3C5D" w:rsidP="00EE42AA">
            <w:pPr>
              <w:rPr>
                <w:i/>
              </w:rPr>
            </w:pPr>
            <w:r w:rsidRPr="00B553BA">
              <w:rPr>
                <w:i/>
              </w:rPr>
              <w:t>In beide gevallen zijn dit geen elegante oplossingen.</w:t>
            </w:r>
          </w:p>
          <w:p w14:paraId="7FB47969" w14:textId="77777777" w:rsidR="008A3126" w:rsidRPr="00B553BA" w:rsidRDefault="008A3126" w:rsidP="00EE42AA"/>
          <w:p w14:paraId="49A2C02F" w14:textId="160C99B7" w:rsidR="008A3126" w:rsidRPr="00B553BA" w:rsidRDefault="008A3126" w:rsidP="00EE42AA">
            <w:pPr>
              <w:rPr>
                <w:sz w:val="16"/>
                <w:szCs w:val="16"/>
              </w:rPr>
            </w:pPr>
            <w:r w:rsidRPr="00B553BA">
              <w:rPr>
                <w:sz w:val="16"/>
                <w:szCs w:val="16"/>
              </w:rPr>
              <w:t>(art. 474, §3 DLB</w:t>
            </w:r>
            <w:r w:rsidR="00B553BA">
              <w:rPr>
                <w:sz w:val="16"/>
                <w:szCs w:val="16"/>
              </w:rPr>
              <w:t xml:space="preserve"> en art. 607/1 dat toegevoegd werd door het wijzigingsdecreet van 25 mei 2018)</w:t>
            </w:r>
          </w:p>
          <w:p w14:paraId="05C5DEFB" w14:textId="35B37CA0" w:rsidR="00215220" w:rsidRPr="00380F1B" w:rsidRDefault="00215220" w:rsidP="00EE42AA">
            <w:pPr>
              <w:rPr>
                <w:sz w:val="16"/>
                <w:szCs w:val="16"/>
              </w:rPr>
            </w:pPr>
          </w:p>
          <w:p w14:paraId="03B39B7A" w14:textId="77777777" w:rsidR="008A3126" w:rsidRPr="008C12E2" w:rsidRDefault="008A3126" w:rsidP="00EE42AA">
            <w:pPr>
              <w:rPr>
                <w:lang w:val="nl-NL"/>
              </w:rPr>
            </w:pPr>
          </w:p>
        </w:tc>
      </w:tr>
      <w:tr w:rsidR="008A3126" w:rsidRPr="008C12E2" w14:paraId="02CBD111" w14:textId="77777777" w:rsidTr="00C150E9">
        <w:tc>
          <w:tcPr>
            <w:tcW w:w="1531" w:type="dxa"/>
            <w:vAlign w:val="center"/>
          </w:tcPr>
          <w:p w14:paraId="348FAC61" w14:textId="77777777" w:rsidR="008A3126" w:rsidRPr="008C12E2" w:rsidRDefault="008A3126" w:rsidP="008A3126">
            <w:pPr>
              <w:jc w:val="center"/>
            </w:pPr>
            <w:r>
              <w:rPr>
                <w:noProof/>
                <w:lang w:eastAsia="nl-BE"/>
              </w:rPr>
              <w:drawing>
                <wp:inline distT="0" distB="0" distL="0" distR="0" wp14:anchorId="00A49FCB" wp14:editId="4692EAFD">
                  <wp:extent cx="720000" cy="720000"/>
                  <wp:effectExtent l="0" t="0" r="4445" b="4445"/>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06D4CAA0" w14:textId="6C958716" w:rsidR="008A3126" w:rsidRDefault="008A3126" w:rsidP="00EE42AA">
            <w:r w:rsidRPr="00CA398F">
              <w:t xml:space="preserve">Verenigingen die enkel publieke deelgenoten hebben, </w:t>
            </w:r>
            <w:r w:rsidR="00DF07B2">
              <w:t>mogen</w:t>
            </w:r>
            <w:r w:rsidR="00021BD8" w:rsidRPr="00B553BA">
              <w:t xml:space="preserve"> vanaf de vernieuwing van de raad van bestuur naar aanleiding van de gemeenteraadsverkiezingen van 2018</w:t>
            </w:r>
            <w:r w:rsidR="00021BD8">
              <w:t xml:space="preserve"> maar</w:t>
            </w:r>
            <w:r w:rsidR="00DF07B2" w:rsidRPr="00CA398F">
              <w:t xml:space="preserve"> </w:t>
            </w:r>
            <w:r w:rsidRPr="00380F1B">
              <w:rPr>
                <w:u w:val="single"/>
              </w:rPr>
              <w:t>maximaal 2/3 van de bestuurders van hetzelfde geslacht</w:t>
            </w:r>
            <w:r>
              <w:t xml:space="preserve"> hebben</w:t>
            </w:r>
            <w:r>
              <w:rPr>
                <w:b/>
              </w:rPr>
              <w:t xml:space="preserve"> </w:t>
            </w:r>
            <w:r w:rsidRPr="00CA398F">
              <w:t xml:space="preserve">. </w:t>
            </w:r>
          </w:p>
          <w:p w14:paraId="2C6E173F" w14:textId="77777777" w:rsidR="008A3126" w:rsidRDefault="008A3126" w:rsidP="00EE42AA"/>
          <w:p w14:paraId="167E8B6E" w14:textId="709366B7" w:rsidR="008A3126" w:rsidRPr="00444441" w:rsidRDefault="008A3126" w:rsidP="00EE42AA">
            <w:pPr>
              <w:rPr>
                <w:i/>
              </w:rPr>
            </w:pPr>
            <w:r w:rsidRPr="00444441">
              <w:rPr>
                <w:i/>
              </w:rPr>
              <w:t>(</w:t>
            </w:r>
            <w:r w:rsidR="00CB1ED7">
              <w:rPr>
                <w:i/>
              </w:rPr>
              <w:t xml:space="preserve">De vereniging </w:t>
            </w:r>
            <w:r w:rsidRPr="00444441">
              <w:rPr>
                <w:i/>
              </w:rPr>
              <w:t>zal</w:t>
            </w:r>
            <w:r>
              <w:rPr>
                <w:i/>
              </w:rPr>
              <w:t xml:space="preserve"> een systeem moeten maken dat deze gendergarantie geeft.</w:t>
            </w:r>
            <w:r w:rsidRPr="00444441">
              <w:rPr>
                <w:i/>
              </w:rPr>
              <w:t xml:space="preserve"> Hoe </w:t>
            </w:r>
            <w:r w:rsidR="00CB1ED7">
              <w:rPr>
                <w:i/>
              </w:rPr>
              <w:t>ze</w:t>
            </w:r>
            <w:r w:rsidRPr="00444441">
              <w:rPr>
                <w:i/>
              </w:rPr>
              <w:t xml:space="preserve"> die genderregel best implementeert, moet nog </w:t>
            </w:r>
            <w:r w:rsidR="00CB1ED7">
              <w:rPr>
                <w:i/>
              </w:rPr>
              <w:t xml:space="preserve">worden </w:t>
            </w:r>
            <w:r w:rsidRPr="00444441">
              <w:rPr>
                <w:i/>
              </w:rPr>
              <w:t>bekeken</w:t>
            </w:r>
            <w:r>
              <w:rPr>
                <w:i/>
              </w:rPr>
              <w:t>.</w:t>
            </w:r>
            <w:r w:rsidR="00CB1ED7" w:rsidRPr="00CB1ED7">
              <w:t xml:space="preserve"> </w:t>
            </w:r>
            <w:r w:rsidR="00171DE9">
              <w:rPr>
                <w:i/>
              </w:rPr>
              <w:t>E</w:t>
            </w:r>
            <w:r w:rsidR="00CB1ED7" w:rsidRPr="00CB1ED7">
              <w:rPr>
                <w:i/>
              </w:rPr>
              <w:t>en oplossing</w:t>
            </w:r>
            <w:r w:rsidR="00171DE9">
              <w:rPr>
                <w:i/>
              </w:rPr>
              <w:t xml:space="preserve"> (maar zeker geen elegante)</w:t>
            </w:r>
            <w:r w:rsidR="00CB1ED7" w:rsidRPr="00CB1ED7">
              <w:rPr>
                <w:i/>
              </w:rPr>
              <w:t xml:space="preserve"> </w:t>
            </w:r>
            <w:r w:rsidR="00171DE9">
              <w:rPr>
                <w:i/>
              </w:rPr>
              <w:t xml:space="preserve">kan </w:t>
            </w:r>
            <w:r w:rsidR="00CB1ED7" w:rsidRPr="00CB1ED7">
              <w:rPr>
                <w:i/>
              </w:rPr>
              <w:t>zijn</w:t>
            </w:r>
            <w:r w:rsidR="00CB1ED7">
              <w:rPr>
                <w:i/>
              </w:rPr>
              <w:t xml:space="preserve"> om, waar dat mogelijk en wenselijk is,</w:t>
            </w:r>
            <w:r w:rsidR="00CB1ED7" w:rsidRPr="00CB1ED7">
              <w:rPr>
                <w:i/>
              </w:rPr>
              <w:t xml:space="preserve"> een niet-publieke deelgenoot aan de vereniging te laten participeren</w:t>
            </w:r>
            <w:r w:rsidR="00CB1ED7">
              <w:rPr>
                <w:i/>
              </w:rPr>
              <w:t>.</w:t>
            </w:r>
            <w:r w:rsidR="00342D5B">
              <w:rPr>
                <w:i/>
              </w:rPr>
              <w:t xml:space="preserve"> Een goede motivatie hierbij </w:t>
            </w:r>
            <w:r w:rsidR="001B4452">
              <w:rPr>
                <w:i/>
              </w:rPr>
              <w:t>is belangrijk.</w:t>
            </w:r>
            <w:r w:rsidRPr="00444441">
              <w:rPr>
                <w:i/>
              </w:rPr>
              <w:t>)</w:t>
            </w:r>
          </w:p>
          <w:p w14:paraId="0FB7AFA4" w14:textId="77777777" w:rsidR="008A3126" w:rsidRDefault="008A3126" w:rsidP="00EE42AA"/>
          <w:p w14:paraId="14D9CE4B" w14:textId="4888DE2F" w:rsidR="008A3126" w:rsidRPr="008C12E2" w:rsidRDefault="008A3126" w:rsidP="00EE42AA">
            <w:pPr>
              <w:rPr>
                <w:lang w:val="nl-NL"/>
              </w:rPr>
            </w:pPr>
            <w:r>
              <w:rPr>
                <w:sz w:val="16"/>
                <w:szCs w:val="16"/>
              </w:rPr>
              <w:t>(art. 474, §3 DLB</w:t>
            </w:r>
            <w:r w:rsidR="00021BD8">
              <w:rPr>
                <w:sz w:val="16"/>
                <w:szCs w:val="16"/>
              </w:rPr>
              <w:t xml:space="preserve"> en art. 607/1 dat toegevoegd werd door het wijzigingsdecreet van 25 mei 2018</w:t>
            </w:r>
            <w:r>
              <w:rPr>
                <w:sz w:val="16"/>
                <w:szCs w:val="16"/>
              </w:rPr>
              <w:t>)</w:t>
            </w:r>
            <w:r>
              <w:rPr>
                <w:sz w:val="16"/>
                <w:szCs w:val="16"/>
              </w:rPr>
              <w:br/>
            </w:r>
            <w:r w:rsidRPr="00CA398F" w:rsidDel="0042217C">
              <w:t xml:space="preserve"> </w:t>
            </w:r>
          </w:p>
        </w:tc>
      </w:tr>
      <w:tr w:rsidR="008A3126" w:rsidRPr="008C12E2" w14:paraId="3DB0BDE7" w14:textId="77777777" w:rsidTr="00C150E9">
        <w:tc>
          <w:tcPr>
            <w:tcW w:w="1531" w:type="dxa"/>
            <w:vAlign w:val="center"/>
          </w:tcPr>
          <w:p w14:paraId="60202708" w14:textId="77777777" w:rsidR="008A3126" w:rsidRPr="008C12E2" w:rsidRDefault="008A3126" w:rsidP="008A3126">
            <w:pPr>
              <w:jc w:val="center"/>
            </w:pPr>
            <w:r>
              <w:rPr>
                <w:noProof/>
                <w:lang w:eastAsia="nl-BE"/>
              </w:rPr>
              <w:lastRenderedPageBreak/>
              <w:drawing>
                <wp:inline distT="0" distB="0" distL="0" distR="0" wp14:anchorId="0D4DC741" wp14:editId="7BE1B14C">
                  <wp:extent cx="720000" cy="720000"/>
                  <wp:effectExtent l="0" t="0" r="444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4C863E0B" w14:textId="77777777" w:rsidR="008A3126" w:rsidRDefault="008A3126" w:rsidP="00EE42AA">
            <w:r>
              <w:t xml:space="preserve">Het DLB verduidelijkt nu dat de algemene vergadering de </w:t>
            </w:r>
            <w:r w:rsidRPr="00444441">
              <w:rPr>
                <w:u w:val="single"/>
              </w:rPr>
              <w:t>presentiegelden</w:t>
            </w:r>
            <w:r>
              <w:t xml:space="preserve"> vaststelt </w:t>
            </w:r>
            <w:r w:rsidRPr="00444441">
              <w:rPr>
                <w:u w:val="single"/>
              </w:rPr>
              <w:t>voor de leden van de algemene vergadering en de raad van bestuur</w:t>
            </w:r>
            <w:r>
              <w:t xml:space="preserve">. </w:t>
            </w:r>
          </w:p>
          <w:p w14:paraId="5506F832" w14:textId="77777777" w:rsidR="008A3126" w:rsidRDefault="008A3126" w:rsidP="00EE42AA">
            <w:r>
              <w:t>Een presentiegeld dat per bijgewoonde vergadering</w:t>
            </w:r>
            <w:r w:rsidRPr="00BF3801">
              <w:t xml:space="preserve"> </w:t>
            </w:r>
            <w:r>
              <w:t>hoogstens gelijk is aan het</w:t>
            </w:r>
            <w:r w:rsidRPr="00BF3801">
              <w:t xml:space="preserve"> </w:t>
            </w:r>
            <w:r>
              <w:t>hoogste presentiegeld</w:t>
            </w:r>
            <w:r w:rsidRPr="00BF3801">
              <w:t xml:space="preserve"> </w:t>
            </w:r>
            <w:r>
              <w:t>dat een OCMW-raadslid</w:t>
            </w:r>
            <w:r w:rsidRPr="00BF3801">
              <w:t xml:space="preserve"> van een van de deelnemende </w:t>
            </w:r>
            <w:proofErr w:type="spellStart"/>
            <w:r w:rsidRPr="00BF3801">
              <w:t>OCMW</w:t>
            </w:r>
            <w:r>
              <w:t>’</w:t>
            </w:r>
            <w:r w:rsidRPr="00BF3801">
              <w:t>s</w:t>
            </w:r>
            <w:proofErr w:type="spellEnd"/>
            <w:r>
              <w:t xml:space="preserve"> krijgt voor het bijwonen van de raadsvergadering</w:t>
            </w:r>
            <w:r w:rsidRPr="00BF3801">
              <w:t xml:space="preserve">. </w:t>
            </w:r>
            <w:r>
              <w:t>De algemene vergadering bepaalt ook de vergoedingen binnen de grenzen die nog door de Vlaams regering bepaald zullen worden.</w:t>
            </w:r>
          </w:p>
          <w:p w14:paraId="076C8BF5" w14:textId="77777777" w:rsidR="008A3126" w:rsidRDefault="008A3126" w:rsidP="00EE42AA"/>
          <w:p w14:paraId="6A41D7CB" w14:textId="77777777" w:rsidR="008A3126" w:rsidRPr="00444441" w:rsidRDefault="008A3126" w:rsidP="00EE42AA">
            <w:pPr>
              <w:rPr>
                <w:i/>
                <w:szCs w:val="20"/>
              </w:rPr>
            </w:pPr>
            <w:r w:rsidRPr="00444441">
              <w:rPr>
                <w:i/>
                <w:szCs w:val="20"/>
              </w:rPr>
              <w:t xml:space="preserve">(Als de statuten vandaag bepalingen bevatten over presentiegelden en vergoedingen voor bestuurders en leden van de AV, dan moet </w:t>
            </w:r>
            <w:r w:rsidR="00CB1ED7">
              <w:rPr>
                <w:i/>
                <w:szCs w:val="20"/>
              </w:rPr>
              <w:t xml:space="preserve">worden </w:t>
            </w:r>
            <w:r w:rsidRPr="00444441">
              <w:rPr>
                <w:i/>
                <w:szCs w:val="20"/>
              </w:rPr>
              <w:t>bekeken of deze nog conform de nieuwe bepalingen zijn.)</w:t>
            </w:r>
          </w:p>
          <w:p w14:paraId="7B0083E0" w14:textId="77777777" w:rsidR="008A3126" w:rsidRDefault="008A3126" w:rsidP="00EE42AA">
            <w:pPr>
              <w:rPr>
                <w:lang w:val="nl-NL"/>
              </w:rPr>
            </w:pPr>
          </w:p>
          <w:p w14:paraId="5DD00F40" w14:textId="77777777" w:rsidR="008A3126" w:rsidRDefault="008A3126" w:rsidP="00EE42AA">
            <w:pPr>
              <w:rPr>
                <w:sz w:val="16"/>
                <w:szCs w:val="16"/>
                <w:lang w:val="nl-NL"/>
              </w:rPr>
            </w:pPr>
            <w:r w:rsidRPr="00444441">
              <w:rPr>
                <w:sz w:val="16"/>
                <w:szCs w:val="16"/>
                <w:lang w:val="nl-NL"/>
              </w:rPr>
              <w:t>(art. 474, §2 DLB)</w:t>
            </w:r>
          </w:p>
          <w:p w14:paraId="11E5F33A" w14:textId="77777777" w:rsidR="008A3126" w:rsidRPr="00444441" w:rsidRDefault="008A3126" w:rsidP="00EE42AA">
            <w:pPr>
              <w:rPr>
                <w:sz w:val="16"/>
                <w:szCs w:val="16"/>
                <w:lang w:val="nl-NL"/>
              </w:rPr>
            </w:pPr>
          </w:p>
        </w:tc>
      </w:tr>
      <w:tr w:rsidR="008A3126" w:rsidRPr="008C12E2" w14:paraId="01022B7F" w14:textId="77777777" w:rsidTr="00C150E9">
        <w:tc>
          <w:tcPr>
            <w:tcW w:w="1531" w:type="dxa"/>
            <w:vAlign w:val="center"/>
          </w:tcPr>
          <w:p w14:paraId="40722BD9" w14:textId="77777777" w:rsidR="008A3126" w:rsidRPr="008C12E2" w:rsidRDefault="008A3126" w:rsidP="008A3126">
            <w:pPr>
              <w:jc w:val="center"/>
            </w:pPr>
            <w:r>
              <w:rPr>
                <w:noProof/>
                <w:lang w:eastAsia="nl-BE"/>
              </w:rPr>
              <w:drawing>
                <wp:inline distT="0" distB="0" distL="0" distR="0" wp14:anchorId="1C5BA2A7" wp14:editId="027BA5D5">
                  <wp:extent cx="720000" cy="720000"/>
                  <wp:effectExtent l="0" t="0" r="4445"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7708F101" w14:textId="77777777" w:rsidR="008A3126" w:rsidRDefault="008A3126" w:rsidP="00EE42AA">
            <w:r w:rsidRPr="00BF3801">
              <w:t xml:space="preserve">De leden van eventuele andere statutair opgerichte organen (dan diegene die in het decreet voorzien zijn) </w:t>
            </w:r>
            <w:r>
              <w:t>kunnen gee</w:t>
            </w:r>
            <w:r w:rsidRPr="00BF3801">
              <w:t>n</w:t>
            </w:r>
            <w:r>
              <w:t xml:space="preserve"> </w:t>
            </w:r>
            <w:r w:rsidRPr="00BF3801">
              <w:t xml:space="preserve">vergoeding </w:t>
            </w:r>
            <w:r>
              <w:t xml:space="preserve">ontvangen </w:t>
            </w:r>
            <w:r w:rsidRPr="00BF3801">
              <w:t>voor hun prestaties in de organen</w:t>
            </w:r>
            <w:r>
              <w:t>.</w:t>
            </w:r>
          </w:p>
          <w:p w14:paraId="2D12B704" w14:textId="77777777" w:rsidR="008A3126" w:rsidRDefault="008A3126" w:rsidP="00EE42AA"/>
          <w:p w14:paraId="4203CD79" w14:textId="77777777" w:rsidR="008A3126" w:rsidRDefault="008A3126" w:rsidP="00EE42AA"/>
          <w:p w14:paraId="26EE7D91" w14:textId="77777777" w:rsidR="008A3126" w:rsidRPr="00EE42AA" w:rsidRDefault="008A3126" w:rsidP="00EE42AA">
            <w:pPr>
              <w:rPr>
                <w:i/>
                <w:szCs w:val="20"/>
              </w:rPr>
            </w:pPr>
            <w:r w:rsidRPr="00EE42AA">
              <w:rPr>
                <w:i/>
                <w:szCs w:val="20"/>
              </w:rPr>
              <w:t>(Als de statuten vandaag bepa</w:t>
            </w:r>
            <w:r>
              <w:rPr>
                <w:i/>
                <w:szCs w:val="20"/>
              </w:rPr>
              <w:t xml:space="preserve">lingen bevatten over dergelijke vergoedingen, dan moeten deze bepalingen </w:t>
            </w:r>
            <w:r w:rsidR="00CB1ED7">
              <w:rPr>
                <w:i/>
                <w:szCs w:val="20"/>
              </w:rPr>
              <w:t xml:space="preserve">worden </w:t>
            </w:r>
            <w:r>
              <w:rPr>
                <w:i/>
                <w:szCs w:val="20"/>
              </w:rPr>
              <w:t>geschrapt</w:t>
            </w:r>
            <w:r w:rsidRPr="00EE42AA">
              <w:rPr>
                <w:i/>
                <w:szCs w:val="20"/>
              </w:rPr>
              <w:t>.)</w:t>
            </w:r>
          </w:p>
          <w:p w14:paraId="2653D8A7" w14:textId="77777777" w:rsidR="008A3126" w:rsidRDefault="008A3126" w:rsidP="00EE42AA"/>
          <w:p w14:paraId="79AB4240" w14:textId="77777777" w:rsidR="008A3126" w:rsidRDefault="008A3126" w:rsidP="00EE42AA">
            <w:pPr>
              <w:rPr>
                <w:sz w:val="16"/>
                <w:szCs w:val="16"/>
                <w:lang w:val="nl-NL"/>
              </w:rPr>
            </w:pPr>
            <w:r w:rsidRPr="00EE42AA">
              <w:rPr>
                <w:sz w:val="16"/>
                <w:szCs w:val="16"/>
                <w:lang w:val="nl-NL"/>
              </w:rPr>
              <w:t>(art. 474, §2 DLB)</w:t>
            </w:r>
          </w:p>
          <w:p w14:paraId="3A198B4F" w14:textId="77777777" w:rsidR="008A3126" w:rsidRPr="00380F1B" w:rsidRDefault="008A3126" w:rsidP="00EE42AA"/>
        </w:tc>
      </w:tr>
      <w:bookmarkEnd w:id="1"/>
    </w:tbl>
    <w:p w14:paraId="4B4B59CA" w14:textId="77777777" w:rsidR="008C12E2" w:rsidRDefault="008C12E2" w:rsidP="00380F1B"/>
    <w:p w14:paraId="24C06C22" w14:textId="77777777" w:rsidR="006851C4" w:rsidRDefault="006851C4" w:rsidP="00380F1B"/>
    <w:p w14:paraId="050119D0" w14:textId="77777777" w:rsidR="00224BF1" w:rsidRDefault="009A0724" w:rsidP="00D32BA2">
      <w:pPr>
        <w:pStyle w:val="Kop3"/>
      </w:pPr>
      <w:r>
        <w:t>N</w:t>
      </w:r>
      <w:r w:rsidR="00224BF1">
        <w:t>ieuwe regels over de bestuurlijke werking</w:t>
      </w:r>
    </w:p>
    <w:p w14:paraId="164802A7" w14:textId="77777777" w:rsidR="006B5A4C" w:rsidRDefault="006B5A4C" w:rsidP="006B5A4C">
      <w:pPr>
        <w:rPr>
          <w:rStyle w:val="Hyperlink"/>
        </w:rPr>
      </w:pPr>
      <w:r>
        <w:rPr>
          <w:b/>
        </w:rPr>
        <w:t>M</w:t>
      </w:r>
      <w:r w:rsidRPr="004D5E63">
        <w:rPr>
          <w:b/>
        </w:rPr>
        <w:t>eer info:</w:t>
      </w:r>
      <w:r>
        <w:t xml:space="preserve"> </w:t>
      </w:r>
      <w:hyperlink r:id="rId18" w:history="1">
        <w:r w:rsidRPr="00900156">
          <w:rPr>
            <w:rStyle w:val="Hyperlink"/>
          </w:rPr>
          <w:t>pieter.vanderstappen@vvsg.be</w:t>
        </w:r>
      </w:hyperlink>
    </w:p>
    <w:p w14:paraId="639A7C16" w14:textId="77777777" w:rsidR="008A3126" w:rsidRDefault="008A3126" w:rsidP="006B5A4C">
      <w:pPr>
        <w:rPr>
          <w:rStyle w:val="Hyperlink"/>
        </w:rPr>
      </w:pPr>
    </w:p>
    <w:p w14:paraId="38973368" w14:textId="77777777" w:rsidR="008A3126" w:rsidRDefault="008A3126" w:rsidP="008A3126">
      <w:r w:rsidRPr="008C12E2">
        <w:lastRenderedPageBreak/>
        <w:t xml:space="preserve">Het </w:t>
      </w:r>
      <w:r>
        <w:t>DLB</w:t>
      </w:r>
      <w:r w:rsidRPr="008C12E2">
        <w:t xml:space="preserve"> </w:t>
      </w:r>
      <w:r>
        <w:t>brengt enkele wijzigingen over de bestuurlijke werking van een publiekrechtelijke OCMW-vereniging.</w:t>
      </w:r>
      <w:r w:rsidRPr="008C12E2">
        <w:t xml:space="preserve"> </w:t>
      </w:r>
      <w:r>
        <w:t xml:space="preserve">Ook hier zal </w:t>
      </w:r>
      <w:r w:rsidR="00CB1ED7">
        <w:t xml:space="preserve">de vereniging </w:t>
      </w:r>
      <w:r>
        <w:t xml:space="preserve">de </w:t>
      </w:r>
      <w:r w:rsidRPr="00F50558">
        <w:t>statuten</w:t>
      </w:r>
      <w:r>
        <w:t xml:space="preserve"> moeten nagaan op twee vlakken:</w:t>
      </w:r>
    </w:p>
    <w:p w14:paraId="1B9BE756" w14:textId="77777777" w:rsidR="008A3126" w:rsidRDefault="008A3126" w:rsidP="008A3126"/>
    <w:p w14:paraId="47069DD1" w14:textId="77777777" w:rsidR="008A3126" w:rsidRDefault="008A3126" w:rsidP="008A3126">
      <w:pPr>
        <w:pStyle w:val="Lijstalinea"/>
        <w:numPr>
          <w:ilvl w:val="0"/>
          <w:numId w:val="39"/>
        </w:numPr>
      </w:pPr>
      <w:r>
        <w:t xml:space="preserve">Bevatten de statuten bepalingen die tegenstrijdig zijn aan de nieuwe regels? Dan moeten deze </w:t>
      </w:r>
      <w:r w:rsidR="00CB1ED7">
        <w:t xml:space="preserve">worden </w:t>
      </w:r>
      <w:r>
        <w:t>aangepast.</w:t>
      </w:r>
    </w:p>
    <w:p w14:paraId="63E13104" w14:textId="77777777" w:rsidR="008A3126" w:rsidRDefault="008A3126" w:rsidP="008A3126">
      <w:pPr>
        <w:pStyle w:val="Lijstalinea"/>
        <w:numPr>
          <w:ilvl w:val="0"/>
          <w:numId w:val="39"/>
        </w:numPr>
      </w:pPr>
      <w:r>
        <w:t>Is het zinvol om van de nieuwe regels gebruik te maken? En moeten die dan opgenomen worden?</w:t>
      </w:r>
    </w:p>
    <w:p w14:paraId="51225B57" w14:textId="77777777" w:rsidR="008A3126" w:rsidRPr="00F50558" w:rsidRDefault="008A3126" w:rsidP="008A3126">
      <w:r>
        <w:br/>
      </w:r>
      <w:r w:rsidRPr="00F50558">
        <w:t xml:space="preserve">De nieuwe regels nemen echter grotendeels de bestaande bepalingen over. Dus mogelijk moet er ook niet meteen iets </w:t>
      </w:r>
      <w:r w:rsidR="00CB1ED7">
        <w:t xml:space="preserve">worden </w:t>
      </w:r>
      <w:r w:rsidRPr="00F50558">
        <w:t>aangepast:</w:t>
      </w:r>
    </w:p>
    <w:p w14:paraId="2E17003C" w14:textId="77777777" w:rsidR="008A3126" w:rsidRPr="00F50558" w:rsidRDefault="008A3126" w:rsidP="008A3126"/>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6810"/>
      </w:tblGrid>
      <w:tr w:rsidR="008A3126" w:rsidRPr="008C12E2" w14:paraId="3DFD6CB4" w14:textId="77777777" w:rsidTr="00C150E9">
        <w:tc>
          <w:tcPr>
            <w:tcW w:w="1548" w:type="dxa"/>
            <w:vAlign w:val="center"/>
          </w:tcPr>
          <w:p w14:paraId="4370B94A" w14:textId="77777777" w:rsidR="008A3126" w:rsidRPr="008C12E2" w:rsidRDefault="008A3126" w:rsidP="008A3126">
            <w:pPr>
              <w:jc w:val="center"/>
              <w:rPr>
                <w:noProof/>
                <w:lang w:eastAsia="nl-BE"/>
              </w:rPr>
            </w:pPr>
            <w:r>
              <w:rPr>
                <w:noProof/>
                <w:lang w:eastAsia="nl-BE"/>
              </w:rPr>
              <w:drawing>
                <wp:inline distT="0" distB="0" distL="0" distR="0" wp14:anchorId="5C958297" wp14:editId="6EBFCD1F">
                  <wp:extent cx="720000" cy="720000"/>
                  <wp:effectExtent l="0" t="0" r="4445"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r>
              <w:rPr>
                <w:noProof/>
                <w:lang w:eastAsia="nl-BE"/>
              </w:rPr>
              <w:drawing>
                <wp:inline distT="0" distB="0" distL="0" distR="0" wp14:anchorId="4F2D0F2E" wp14:editId="0EAC275D">
                  <wp:extent cx="720000" cy="720000"/>
                  <wp:effectExtent l="0" t="0" r="4445"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vAlign w:val="center"/>
          </w:tcPr>
          <w:p w14:paraId="56812E43" w14:textId="77777777" w:rsidR="008A3126" w:rsidRDefault="008A3126" w:rsidP="00EE42AA">
            <w:r>
              <w:t>H</w:t>
            </w:r>
            <w:r w:rsidRPr="006B5A4C">
              <w:t xml:space="preserve">et </w:t>
            </w:r>
            <w:r>
              <w:t>DLB</w:t>
            </w:r>
            <w:r w:rsidRPr="006B5A4C">
              <w:t xml:space="preserve"> </w:t>
            </w:r>
            <w:r>
              <w:t xml:space="preserve">zegt </w:t>
            </w:r>
            <w:r w:rsidRPr="006B5A4C">
              <w:t xml:space="preserve">niet meer dat de welzijnsvereniging </w:t>
            </w:r>
            <w:r w:rsidRPr="00380F1B">
              <w:rPr>
                <w:u w:val="single"/>
              </w:rPr>
              <w:t>beheerd word</w:t>
            </w:r>
            <w:r w:rsidR="00CB1ED7">
              <w:rPr>
                <w:u w:val="single"/>
              </w:rPr>
              <w:t>t</w:t>
            </w:r>
            <w:r w:rsidRPr="00380F1B">
              <w:rPr>
                <w:u w:val="single"/>
              </w:rPr>
              <w:t xml:space="preserve"> zoals een OCMW</w:t>
            </w:r>
            <w:r w:rsidRPr="006B5A4C">
              <w:t>, en dat statutaire afwijkingen mogelijk zijn. Toch verandert er op dit vlak niets. Dezelfde principes blijven gelden.</w:t>
            </w:r>
          </w:p>
          <w:p w14:paraId="34D8AD23" w14:textId="77777777" w:rsidR="008A3126" w:rsidRDefault="008A3126" w:rsidP="00EE42AA"/>
          <w:p w14:paraId="7776E7A9" w14:textId="7A68067D" w:rsidR="008A3126" w:rsidRDefault="008A3126" w:rsidP="00EE42AA">
            <w:pPr>
              <w:rPr>
                <w:i/>
              </w:rPr>
            </w:pPr>
            <w:r w:rsidRPr="00380F1B">
              <w:rPr>
                <w:i/>
              </w:rPr>
              <w:t xml:space="preserve">(Als deze bepaling geschreven </w:t>
            </w:r>
            <w:r w:rsidR="006B4811">
              <w:rPr>
                <w:i/>
              </w:rPr>
              <w:t xml:space="preserve">staat </w:t>
            </w:r>
            <w:r w:rsidRPr="00380F1B">
              <w:rPr>
                <w:i/>
              </w:rPr>
              <w:t xml:space="preserve">in de statuten, dan kan </w:t>
            </w:r>
            <w:r w:rsidR="006B4811">
              <w:rPr>
                <w:i/>
              </w:rPr>
              <w:t>de vereniging</w:t>
            </w:r>
            <w:r w:rsidRPr="00380F1B">
              <w:rPr>
                <w:i/>
              </w:rPr>
              <w:t xml:space="preserve"> overwegen om die te schrappen</w:t>
            </w:r>
            <w:r w:rsidR="001B4452">
              <w:rPr>
                <w:i/>
              </w:rPr>
              <w:t>. Uiteraard dient de vereniging dan wel zelf eigen regels uit te werken.</w:t>
            </w:r>
            <w:r w:rsidRPr="00380F1B">
              <w:rPr>
                <w:i/>
              </w:rPr>
              <w:t xml:space="preserve"> En omgekeerd kan </w:t>
            </w:r>
            <w:r w:rsidR="006B4811">
              <w:rPr>
                <w:i/>
              </w:rPr>
              <w:t>ze</w:t>
            </w:r>
            <w:r w:rsidRPr="00380F1B">
              <w:rPr>
                <w:i/>
              </w:rPr>
              <w:t xml:space="preserve"> overwegen om ze juist wel in de statuten </w:t>
            </w:r>
            <w:r w:rsidR="006B4811">
              <w:rPr>
                <w:i/>
              </w:rPr>
              <w:t>op te nemen</w:t>
            </w:r>
            <w:r w:rsidRPr="00380F1B">
              <w:rPr>
                <w:i/>
              </w:rPr>
              <w:t xml:space="preserve"> om de rechtszekerheid te vergroten.</w:t>
            </w:r>
            <w:r w:rsidR="001B4452">
              <w:rPr>
                <w:i/>
              </w:rPr>
              <w:t xml:space="preserve"> Ook hier zal de vereniging nog eigen regels moeten voorzien omdat welzijnsverenigingen bijvoorbeeld voor het financieel beheer niet kunnen terugvallen op de regels van een moederbestuur. </w:t>
            </w:r>
            <w:r w:rsidRPr="00380F1B">
              <w:rPr>
                <w:i/>
              </w:rPr>
              <w:t>)</w:t>
            </w:r>
          </w:p>
          <w:p w14:paraId="27A23755" w14:textId="77777777" w:rsidR="008A3126" w:rsidRDefault="008A3126" w:rsidP="00EE42AA">
            <w:pPr>
              <w:rPr>
                <w:i/>
              </w:rPr>
            </w:pPr>
          </w:p>
          <w:p w14:paraId="153171F4" w14:textId="77777777" w:rsidR="008A3126" w:rsidRPr="00380F1B" w:rsidRDefault="008A3126" w:rsidP="00EE42AA">
            <w:pPr>
              <w:rPr>
                <w:sz w:val="16"/>
                <w:szCs w:val="16"/>
              </w:rPr>
            </w:pPr>
            <w:r>
              <w:rPr>
                <w:sz w:val="16"/>
                <w:szCs w:val="16"/>
              </w:rPr>
              <w:t>( art. 228, §1 OD, niet identiek herhaald in het DLB)</w:t>
            </w:r>
          </w:p>
          <w:p w14:paraId="24ED485A" w14:textId="77777777" w:rsidR="008A3126" w:rsidRPr="00CA398F" w:rsidRDefault="008A3126" w:rsidP="00EE42AA"/>
        </w:tc>
      </w:tr>
      <w:tr w:rsidR="008A3126" w:rsidRPr="008C12E2" w14:paraId="3B7E4CB4" w14:textId="77777777" w:rsidTr="00C150E9">
        <w:tc>
          <w:tcPr>
            <w:tcW w:w="1548" w:type="dxa"/>
            <w:vAlign w:val="center"/>
          </w:tcPr>
          <w:p w14:paraId="3E3FFE39" w14:textId="77777777" w:rsidR="008A3126" w:rsidRPr="008C12E2" w:rsidRDefault="008A3126" w:rsidP="008A3126">
            <w:pPr>
              <w:jc w:val="center"/>
            </w:pPr>
            <w:r>
              <w:rPr>
                <w:noProof/>
                <w:lang w:eastAsia="nl-BE"/>
              </w:rPr>
              <w:drawing>
                <wp:inline distT="0" distB="0" distL="0" distR="0" wp14:anchorId="7D6ED17B" wp14:editId="1F674C74">
                  <wp:extent cx="720000" cy="720000"/>
                  <wp:effectExtent l="0" t="0" r="4445" b="444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vAlign w:val="center"/>
          </w:tcPr>
          <w:p w14:paraId="38089977" w14:textId="77777777" w:rsidR="008A3126" w:rsidRDefault="008A3126" w:rsidP="00EE42AA">
            <w:pPr>
              <w:rPr>
                <w:lang w:val="nl-NL"/>
              </w:rPr>
            </w:pPr>
            <w:r>
              <w:rPr>
                <w:lang w:val="nl-NL"/>
              </w:rPr>
              <w:t xml:space="preserve">De </w:t>
            </w:r>
            <w:r w:rsidRPr="00444441">
              <w:rPr>
                <w:u w:val="single"/>
                <w:lang w:val="nl-NL"/>
              </w:rPr>
              <w:t>zetel</w:t>
            </w:r>
            <w:r>
              <w:rPr>
                <w:lang w:val="nl-NL"/>
              </w:rPr>
              <w:t xml:space="preserve"> van de vereniging moet vanaf 2019 liggen in een gemeente die door een deelnemend OCMW bediend wordt.</w:t>
            </w:r>
          </w:p>
          <w:p w14:paraId="3CF42C05" w14:textId="77777777" w:rsidR="008A3126" w:rsidRDefault="008A3126" w:rsidP="00EE42AA">
            <w:pPr>
              <w:rPr>
                <w:lang w:val="nl-NL"/>
              </w:rPr>
            </w:pPr>
          </w:p>
          <w:p w14:paraId="7E4981B9" w14:textId="77777777" w:rsidR="008A3126" w:rsidRPr="00444441" w:rsidRDefault="008A3126" w:rsidP="00EE42AA">
            <w:pPr>
              <w:rPr>
                <w:i/>
                <w:lang w:val="nl-NL"/>
              </w:rPr>
            </w:pPr>
            <w:r w:rsidRPr="00444441">
              <w:rPr>
                <w:i/>
                <w:lang w:val="nl-NL"/>
              </w:rPr>
              <w:t>(</w:t>
            </w:r>
            <w:r>
              <w:rPr>
                <w:i/>
                <w:lang w:val="nl-NL"/>
              </w:rPr>
              <w:t>Als dat niet het geval is, dan moet de zetel gewijzigd worden, ook in de statuten.)</w:t>
            </w:r>
          </w:p>
          <w:p w14:paraId="6502821A" w14:textId="77777777" w:rsidR="008A3126" w:rsidRDefault="008A3126" w:rsidP="00EE42AA">
            <w:pPr>
              <w:rPr>
                <w:lang w:val="nl-NL"/>
              </w:rPr>
            </w:pPr>
          </w:p>
          <w:p w14:paraId="2C460EDD" w14:textId="77777777" w:rsidR="008A3126" w:rsidRDefault="008A3126" w:rsidP="00EE42AA">
            <w:pPr>
              <w:rPr>
                <w:sz w:val="16"/>
                <w:szCs w:val="16"/>
                <w:lang w:val="nl-NL"/>
              </w:rPr>
            </w:pPr>
            <w:r w:rsidRPr="00EE42AA">
              <w:rPr>
                <w:sz w:val="16"/>
                <w:szCs w:val="16"/>
                <w:lang w:val="nl-NL"/>
              </w:rPr>
              <w:t>(art. 47</w:t>
            </w:r>
            <w:r>
              <w:rPr>
                <w:sz w:val="16"/>
                <w:szCs w:val="16"/>
                <w:lang w:val="nl-NL"/>
              </w:rPr>
              <w:t>5</w:t>
            </w:r>
            <w:r w:rsidRPr="00EE42AA">
              <w:rPr>
                <w:sz w:val="16"/>
                <w:szCs w:val="16"/>
                <w:lang w:val="nl-NL"/>
              </w:rPr>
              <w:t xml:space="preserve"> DLB)</w:t>
            </w:r>
          </w:p>
          <w:p w14:paraId="16B511F3" w14:textId="77777777" w:rsidR="008A3126" w:rsidRPr="008C12E2" w:rsidRDefault="008A3126" w:rsidP="00EE42AA">
            <w:pPr>
              <w:rPr>
                <w:lang w:val="nl-NL"/>
              </w:rPr>
            </w:pPr>
          </w:p>
        </w:tc>
      </w:tr>
    </w:tbl>
    <w:p w14:paraId="77515C6B" w14:textId="77777777" w:rsidR="006B5A4C" w:rsidRPr="006B5A4C" w:rsidRDefault="006B5A4C" w:rsidP="00380F1B"/>
    <w:p w14:paraId="07537C92" w14:textId="77777777" w:rsidR="00BF3801" w:rsidRDefault="00BF3801" w:rsidP="002C4B82"/>
    <w:p w14:paraId="28DE9EB8" w14:textId="77777777" w:rsidR="00540A68" w:rsidRDefault="00512166" w:rsidP="00DF0A95">
      <w:pPr>
        <w:pStyle w:val="Kop2"/>
      </w:pPr>
      <w:r>
        <w:t>Andere wijzigingen (</w:t>
      </w:r>
      <w:r w:rsidR="009A0724">
        <w:t xml:space="preserve">dan die aan </w:t>
      </w:r>
      <w:r>
        <w:t>de statuten)</w:t>
      </w:r>
    </w:p>
    <w:p w14:paraId="7F7BBCBA" w14:textId="77777777" w:rsidR="00512166" w:rsidRDefault="00540A68" w:rsidP="00444441">
      <w:pPr>
        <w:pStyle w:val="Kop3"/>
      </w:pPr>
      <w:r>
        <w:t>Bestuurlijke werking</w:t>
      </w:r>
    </w:p>
    <w:p w14:paraId="49041B23" w14:textId="77777777" w:rsidR="009B20A8" w:rsidRPr="00444441" w:rsidRDefault="009B20A8" w:rsidP="00444441">
      <w:r>
        <w:rPr>
          <w:b/>
        </w:rPr>
        <w:t>M</w:t>
      </w:r>
      <w:r w:rsidRPr="004D5E63">
        <w:rPr>
          <w:b/>
        </w:rPr>
        <w:t>eer info:</w:t>
      </w:r>
      <w:r>
        <w:t xml:space="preserve"> </w:t>
      </w:r>
      <w:hyperlink r:id="rId19" w:history="1">
        <w:r w:rsidRPr="00444441">
          <w:rPr>
            <w:rStyle w:val="Hyperlink"/>
          </w:rPr>
          <w:t>emme.vandeginste@vvsg.be</w:t>
        </w:r>
      </w:hyperlink>
    </w:p>
    <w:p w14:paraId="3D91F963" w14:textId="77777777" w:rsidR="00512166" w:rsidRDefault="00512166" w:rsidP="00444441"/>
    <w:tbl>
      <w:tblPr>
        <w:tblW w:w="8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198" w:type="dxa"/>
        </w:tblCellMar>
        <w:tblLook w:val="04A0" w:firstRow="1" w:lastRow="0" w:firstColumn="1" w:lastColumn="0" w:noHBand="0" w:noVBand="1"/>
      </w:tblPr>
      <w:tblGrid>
        <w:gridCol w:w="1531"/>
        <w:gridCol w:w="6802"/>
      </w:tblGrid>
      <w:tr w:rsidR="00512166" w:rsidRPr="00013247" w14:paraId="029753FA" w14:textId="77777777" w:rsidTr="00EB7F96">
        <w:tc>
          <w:tcPr>
            <w:tcW w:w="1531" w:type="dxa"/>
            <w:tcMar>
              <w:right w:w="113" w:type="dxa"/>
            </w:tcMar>
            <w:vAlign w:val="center"/>
          </w:tcPr>
          <w:p w14:paraId="2419257B" w14:textId="77777777" w:rsidR="00512166" w:rsidRPr="00013247" w:rsidRDefault="00512166" w:rsidP="00444441">
            <w:pPr>
              <w:jc w:val="center"/>
            </w:pPr>
            <w:r>
              <w:rPr>
                <w:noProof/>
                <w:lang w:eastAsia="nl-BE"/>
              </w:rPr>
              <w:lastRenderedPageBreak/>
              <w:drawing>
                <wp:inline distT="0" distB="0" distL="0" distR="0" wp14:anchorId="58ECBFDA" wp14:editId="0D88F380">
                  <wp:extent cx="712800" cy="720000"/>
                  <wp:effectExtent l="0" t="0" r="0" b="444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2800" cy="720000"/>
                          </a:xfrm>
                          <a:prstGeom prst="rect">
                            <a:avLst/>
                          </a:prstGeom>
                        </pic:spPr>
                      </pic:pic>
                    </a:graphicData>
                  </a:graphic>
                </wp:inline>
              </w:drawing>
            </w:r>
          </w:p>
        </w:tc>
        <w:tc>
          <w:tcPr>
            <w:tcW w:w="6802" w:type="dxa"/>
            <w:tcMar>
              <w:right w:w="113" w:type="dxa"/>
            </w:tcMar>
            <w:vAlign w:val="center"/>
          </w:tcPr>
          <w:p w14:paraId="73BFA357" w14:textId="77777777" w:rsidR="00512166" w:rsidRPr="00512166" w:rsidRDefault="00512166" w:rsidP="00444441">
            <w:pPr>
              <w:jc w:val="both"/>
              <w:rPr>
                <w:lang w:val="nl-NL"/>
              </w:rPr>
            </w:pPr>
            <w:r w:rsidRPr="00444441">
              <w:rPr>
                <w:u w:val="single"/>
                <w:lang w:val="nl-NL"/>
              </w:rPr>
              <w:t>Al de akten, facturen, aankondigingen, publicaties en andere stukken</w:t>
            </w:r>
            <w:r>
              <w:rPr>
                <w:lang w:val="nl-NL"/>
              </w:rPr>
              <w:t xml:space="preserve"> die uitgaan </w:t>
            </w:r>
            <w:r w:rsidRPr="00512166">
              <w:rPr>
                <w:lang w:val="nl-NL"/>
              </w:rPr>
              <w:t xml:space="preserve">van de welzijnsvereniging, vermelden </w:t>
            </w:r>
            <w:r>
              <w:rPr>
                <w:lang w:val="nl-NL"/>
              </w:rPr>
              <w:t xml:space="preserve">vanaf 2019: </w:t>
            </w:r>
            <w:r w:rsidRPr="00512166">
              <w:rPr>
                <w:lang w:val="nl-NL"/>
              </w:rPr>
              <w:t>de benaming van de welzijnsvereniging</w:t>
            </w:r>
            <w:r>
              <w:rPr>
                <w:lang w:val="nl-NL"/>
              </w:rPr>
              <w:t xml:space="preserve"> </w:t>
            </w:r>
            <w:r w:rsidRPr="00512166">
              <w:rPr>
                <w:lang w:val="nl-NL"/>
              </w:rPr>
              <w:t>met, onmiddellijk daarvoor of daarna, leesbaar en voluit geschreven</w:t>
            </w:r>
            <w:r>
              <w:rPr>
                <w:lang w:val="nl-NL"/>
              </w:rPr>
              <w:t>:</w:t>
            </w:r>
          </w:p>
          <w:p w14:paraId="19EA41A2" w14:textId="77777777" w:rsidR="00512166" w:rsidRDefault="00512166" w:rsidP="00444441">
            <w:pPr>
              <w:jc w:val="both"/>
              <w:rPr>
                <w:lang w:val="nl-NL"/>
              </w:rPr>
            </w:pPr>
            <w:r w:rsidRPr="00512166">
              <w:rPr>
                <w:lang w:val="nl-NL"/>
              </w:rPr>
              <w:t>“vereniging van publiek recht onderworpen aan deel 3</w:t>
            </w:r>
            <w:r>
              <w:rPr>
                <w:lang w:val="nl-NL"/>
              </w:rPr>
              <w:t xml:space="preserve">, titel 4, hoofdstuk 2, van het </w:t>
            </w:r>
            <w:r w:rsidRPr="00512166">
              <w:rPr>
                <w:lang w:val="nl-NL"/>
              </w:rPr>
              <w:t>decreet over het lokaal bestuur”, “</w:t>
            </w:r>
            <w:r w:rsidRPr="00444441">
              <w:rPr>
                <w:u w:val="single"/>
                <w:lang w:val="nl-NL"/>
              </w:rPr>
              <w:t>welzijnsvereniging</w:t>
            </w:r>
            <w:r w:rsidRPr="00512166">
              <w:rPr>
                <w:lang w:val="nl-NL"/>
              </w:rPr>
              <w:t>” of de initialen “WV”.</w:t>
            </w:r>
          </w:p>
          <w:p w14:paraId="4AE4B599" w14:textId="77777777" w:rsidR="00512166" w:rsidRDefault="00512166" w:rsidP="00444441">
            <w:pPr>
              <w:jc w:val="both"/>
              <w:rPr>
                <w:lang w:val="nl-NL"/>
              </w:rPr>
            </w:pPr>
          </w:p>
          <w:p w14:paraId="43178EF1" w14:textId="77777777" w:rsidR="00512166" w:rsidRPr="00444441" w:rsidRDefault="00512166" w:rsidP="00444441">
            <w:pPr>
              <w:jc w:val="both"/>
              <w:rPr>
                <w:i/>
                <w:lang w:val="nl-NL"/>
              </w:rPr>
            </w:pPr>
            <w:r>
              <w:rPr>
                <w:i/>
                <w:lang w:val="nl-NL"/>
              </w:rPr>
              <w:t xml:space="preserve">(Alle sjablonen die gebruikt worden, moeten </w:t>
            </w:r>
            <w:r w:rsidR="006B4811">
              <w:rPr>
                <w:i/>
                <w:lang w:val="nl-NL"/>
              </w:rPr>
              <w:t xml:space="preserve">worden </w:t>
            </w:r>
            <w:r>
              <w:rPr>
                <w:i/>
                <w:lang w:val="nl-NL"/>
              </w:rPr>
              <w:t>aangepast zodat ze vanaf 1 januari 2019 juist gebruikt kunnen worden.)</w:t>
            </w:r>
          </w:p>
          <w:p w14:paraId="79D37DA7" w14:textId="77777777" w:rsidR="00512166" w:rsidRDefault="00512166" w:rsidP="00444441">
            <w:pPr>
              <w:jc w:val="both"/>
            </w:pPr>
          </w:p>
          <w:p w14:paraId="41886229" w14:textId="77777777" w:rsidR="00512166" w:rsidRPr="00EE42AA" w:rsidRDefault="00512166" w:rsidP="00444441">
            <w:pPr>
              <w:jc w:val="both"/>
              <w:rPr>
                <w:sz w:val="16"/>
                <w:szCs w:val="16"/>
              </w:rPr>
            </w:pPr>
            <w:r w:rsidRPr="00EE42AA">
              <w:rPr>
                <w:sz w:val="16"/>
                <w:szCs w:val="16"/>
              </w:rPr>
              <w:t>(art. 47</w:t>
            </w:r>
            <w:r>
              <w:rPr>
                <w:sz w:val="16"/>
                <w:szCs w:val="16"/>
              </w:rPr>
              <w:t>8</w:t>
            </w:r>
            <w:r w:rsidRPr="00EE42AA">
              <w:rPr>
                <w:sz w:val="16"/>
                <w:szCs w:val="16"/>
              </w:rPr>
              <w:t xml:space="preserve"> DLB)</w:t>
            </w:r>
          </w:p>
          <w:p w14:paraId="282A875A" w14:textId="77777777" w:rsidR="00512166" w:rsidRPr="00013247" w:rsidRDefault="00512166" w:rsidP="00444441">
            <w:pPr>
              <w:jc w:val="both"/>
              <w:rPr>
                <w:lang w:val="nl-NL"/>
              </w:rPr>
            </w:pPr>
          </w:p>
        </w:tc>
      </w:tr>
      <w:tr w:rsidR="00512166" w:rsidRPr="00013247" w14:paraId="35FE380D" w14:textId="77777777" w:rsidTr="00EB7F96">
        <w:tc>
          <w:tcPr>
            <w:tcW w:w="1531" w:type="dxa"/>
            <w:tcMar>
              <w:right w:w="113" w:type="dxa"/>
            </w:tcMar>
            <w:vAlign w:val="center"/>
          </w:tcPr>
          <w:p w14:paraId="027D4DDA" w14:textId="77777777" w:rsidR="00512166" w:rsidRPr="00013247" w:rsidRDefault="005266AE" w:rsidP="00444441">
            <w:pPr>
              <w:jc w:val="center"/>
            </w:pPr>
            <w:r>
              <w:rPr>
                <w:noProof/>
                <w:lang w:eastAsia="nl-BE"/>
              </w:rPr>
              <w:drawing>
                <wp:inline distT="0" distB="0" distL="0" distR="0" wp14:anchorId="59F23F27" wp14:editId="3D6DAA36">
                  <wp:extent cx="720000" cy="720000"/>
                  <wp:effectExtent l="0" t="0" r="4445" b="444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2" w:type="dxa"/>
            <w:tcMar>
              <w:right w:w="113" w:type="dxa"/>
            </w:tcMar>
            <w:vAlign w:val="center"/>
          </w:tcPr>
          <w:p w14:paraId="1C20683C" w14:textId="77777777" w:rsidR="005266AE" w:rsidRDefault="005266AE" w:rsidP="00444441">
            <w:pPr>
              <w:jc w:val="both"/>
            </w:pPr>
            <w:r w:rsidRPr="00013247">
              <w:t xml:space="preserve">De welzijnsverenigingen worden onderworpen aan de </w:t>
            </w:r>
            <w:r w:rsidRPr="00444441">
              <w:rPr>
                <w:u w:val="single"/>
              </w:rPr>
              <w:t>periodieke audits</w:t>
            </w:r>
            <w:r w:rsidRPr="00013247">
              <w:t xml:space="preserve"> van Audit Vlaanderen.</w:t>
            </w:r>
          </w:p>
          <w:p w14:paraId="224B8D93" w14:textId="77777777" w:rsidR="005266AE" w:rsidRDefault="005266AE" w:rsidP="00444441">
            <w:pPr>
              <w:jc w:val="both"/>
            </w:pPr>
          </w:p>
          <w:p w14:paraId="4783130C" w14:textId="77777777" w:rsidR="005266AE" w:rsidRPr="00444441" w:rsidRDefault="005266AE" w:rsidP="00444441">
            <w:pPr>
              <w:jc w:val="both"/>
              <w:rPr>
                <w:sz w:val="16"/>
                <w:szCs w:val="16"/>
              </w:rPr>
            </w:pPr>
            <w:r>
              <w:rPr>
                <w:sz w:val="16"/>
                <w:szCs w:val="16"/>
              </w:rPr>
              <w:t xml:space="preserve"> (o.a. art. 479 OD)</w:t>
            </w:r>
          </w:p>
          <w:p w14:paraId="0A7E9A9D" w14:textId="77777777" w:rsidR="00512166" w:rsidRPr="00013247" w:rsidRDefault="00512166" w:rsidP="00444441">
            <w:pPr>
              <w:jc w:val="both"/>
              <w:rPr>
                <w:lang w:val="nl-NL"/>
              </w:rPr>
            </w:pPr>
          </w:p>
        </w:tc>
      </w:tr>
      <w:tr w:rsidR="00512166" w:rsidRPr="00013247" w14:paraId="60AB43EA" w14:textId="77777777" w:rsidTr="00EB7F96">
        <w:tc>
          <w:tcPr>
            <w:tcW w:w="1531" w:type="dxa"/>
            <w:tcMar>
              <w:right w:w="113" w:type="dxa"/>
            </w:tcMar>
            <w:vAlign w:val="center"/>
          </w:tcPr>
          <w:p w14:paraId="74B91B58" w14:textId="77777777" w:rsidR="00512166" w:rsidRPr="00013247" w:rsidRDefault="008377A0" w:rsidP="00444441">
            <w:pPr>
              <w:jc w:val="center"/>
            </w:pPr>
            <w:r>
              <w:rPr>
                <w:noProof/>
                <w:lang w:eastAsia="nl-BE"/>
              </w:rPr>
              <w:drawing>
                <wp:inline distT="0" distB="0" distL="0" distR="0" wp14:anchorId="3327BACD" wp14:editId="16361481">
                  <wp:extent cx="720000" cy="720000"/>
                  <wp:effectExtent l="0" t="0" r="4445" b="444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r>
              <w:rPr>
                <w:noProof/>
                <w:lang w:eastAsia="nl-BE"/>
              </w:rPr>
              <w:drawing>
                <wp:inline distT="0" distB="0" distL="0" distR="0" wp14:anchorId="33BD5E06" wp14:editId="02CCD8C3">
                  <wp:extent cx="720000" cy="720000"/>
                  <wp:effectExtent l="0" t="0" r="4445" b="444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2" w:type="dxa"/>
            <w:tcMar>
              <w:right w:w="113" w:type="dxa"/>
            </w:tcMar>
            <w:vAlign w:val="center"/>
          </w:tcPr>
          <w:p w14:paraId="7C5AE9E3" w14:textId="77777777" w:rsidR="005266AE" w:rsidRDefault="008377A0" w:rsidP="00444441">
            <w:r>
              <w:t xml:space="preserve">Het DLB kiest voor meer digitaal werken. Ook de </w:t>
            </w:r>
            <w:r w:rsidRPr="00444441">
              <w:rPr>
                <w:u w:val="single"/>
              </w:rPr>
              <w:t>a</w:t>
            </w:r>
            <w:r w:rsidR="005266AE" w:rsidRPr="00444441">
              <w:rPr>
                <w:u w:val="single"/>
              </w:rPr>
              <w:t>kten en documenten</w:t>
            </w:r>
            <w:r w:rsidR="005266AE">
              <w:t xml:space="preserve"> van de welzijnsvereniging mogen </w:t>
            </w:r>
            <w:r w:rsidR="005266AE" w:rsidRPr="00444441">
              <w:rPr>
                <w:u w:val="single"/>
              </w:rPr>
              <w:t>op elke informatiedrager</w:t>
            </w:r>
            <w:r w:rsidR="005266AE">
              <w:t xml:space="preserve"> geplaatst worden, als de vereniging maar een duurzame bewaring en toegankelijkheid garandeert.</w:t>
            </w:r>
          </w:p>
          <w:p w14:paraId="46CBB176" w14:textId="77777777" w:rsidR="005266AE" w:rsidRDefault="005266AE" w:rsidP="00444441"/>
          <w:p w14:paraId="0F63C96C" w14:textId="77777777" w:rsidR="008377A0" w:rsidRDefault="008377A0" w:rsidP="00444441">
            <w:r>
              <w:t xml:space="preserve">Voor een geldige </w:t>
            </w:r>
            <w:r w:rsidRPr="00444441">
              <w:rPr>
                <w:u w:val="single"/>
              </w:rPr>
              <w:t xml:space="preserve">elektronische </w:t>
            </w:r>
            <w:r w:rsidR="005266AE" w:rsidRPr="00444441">
              <w:rPr>
                <w:u w:val="single"/>
              </w:rPr>
              <w:t>handtekening</w:t>
            </w:r>
            <w:r w:rsidR="005266AE">
              <w:t xml:space="preserve"> </w:t>
            </w:r>
            <w:r>
              <w:t xml:space="preserve">moet </w:t>
            </w:r>
            <w:r w:rsidR="005266AE">
              <w:t>een elektronische procedure</w:t>
            </w:r>
            <w:r>
              <w:t xml:space="preserve"> gevolgd worden</w:t>
            </w:r>
            <w:r w:rsidR="005266AE">
              <w:t xml:space="preserve"> die de authenticiteit en de integriteit van de gegevens waarborgt. </w:t>
            </w:r>
          </w:p>
          <w:p w14:paraId="0232E7A4" w14:textId="77777777" w:rsidR="008377A0" w:rsidRDefault="008377A0" w:rsidP="00444441"/>
          <w:p w14:paraId="75ED22EA" w14:textId="77777777" w:rsidR="008377A0" w:rsidRPr="00444441" w:rsidRDefault="008377A0" w:rsidP="00444441">
            <w:pPr>
              <w:rPr>
                <w:i/>
              </w:rPr>
            </w:pPr>
            <w:r w:rsidRPr="00444441">
              <w:rPr>
                <w:i/>
              </w:rPr>
              <w:t xml:space="preserve">(Hier wachten we nog op verdere uitwerking door de </w:t>
            </w:r>
            <w:r w:rsidR="005266AE" w:rsidRPr="00444441">
              <w:rPr>
                <w:i/>
              </w:rPr>
              <w:t>Vlaamse Regering</w:t>
            </w:r>
            <w:r w:rsidRPr="00444441">
              <w:rPr>
                <w:i/>
              </w:rPr>
              <w:t>, maar mogelijk moeten sommige bestaande procedures aangepast worden).</w:t>
            </w:r>
          </w:p>
          <w:p w14:paraId="25616EE3" w14:textId="77777777" w:rsidR="008377A0" w:rsidRDefault="008377A0" w:rsidP="00444441"/>
          <w:p w14:paraId="25E7B908" w14:textId="77777777" w:rsidR="008377A0" w:rsidRPr="00444441" w:rsidRDefault="008377A0" w:rsidP="00444441">
            <w:pPr>
              <w:rPr>
                <w:sz w:val="16"/>
                <w:szCs w:val="16"/>
              </w:rPr>
            </w:pPr>
            <w:r>
              <w:rPr>
                <w:sz w:val="16"/>
                <w:szCs w:val="16"/>
              </w:rPr>
              <w:t>(o.a. art. 480 DLB)</w:t>
            </w:r>
          </w:p>
          <w:p w14:paraId="45B23515" w14:textId="77777777" w:rsidR="00512166" w:rsidRPr="00013247" w:rsidRDefault="008377A0" w:rsidP="00444441">
            <w:pPr>
              <w:rPr>
                <w:lang w:val="nl-NL"/>
              </w:rPr>
            </w:pPr>
            <w:r w:rsidRPr="00013247" w:rsidDel="008377A0">
              <w:t xml:space="preserve"> </w:t>
            </w:r>
          </w:p>
        </w:tc>
      </w:tr>
      <w:tr w:rsidR="00512166" w:rsidRPr="00013247" w14:paraId="17D16934" w14:textId="77777777" w:rsidTr="00EB7F96">
        <w:tc>
          <w:tcPr>
            <w:tcW w:w="1531" w:type="dxa"/>
            <w:tcMar>
              <w:right w:w="113" w:type="dxa"/>
            </w:tcMar>
            <w:vAlign w:val="center"/>
          </w:tcPr>
          <w:p w14:paraId="25594752" w14:textId="77777777" w:rsidR="00512166" w:rsidRPr="00013247" w:rsidRDefault="00666148" w:rsidP="00444441">
            <w:pPr>
              <w:jc w:val="center"/>
            </w:pPr>
            <w:r>
              <w:rPr>
                <w:noProof/>
                <w:lang w:eastAsia="nl-BE"/>
              </w:rPr>
              <w:drawing>
                <wp:inline distT="0" distB="0" distL="0" distR="0" wp14:anchorId="07A45662" wp14:editId="4692A128">
                  <wp:extent cx="720000" cy="720000"/>
                  <wp:effectExtent l="0" t="0" r="4445" b="444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2" w:type="dxa"/>
            <w:tcMar>
              <w:right w:w="113" w:type="dxa"/>
            </w:tcMar>
            <w:vAlign w:val="center"/>
          </w:tcPr>
          <w:p w14:paraId="6D11CA10" w14:textId="77777777" w:rsidR="00666148" w:rsidRDefault="00F72F8D" w:rsidP="00444441">
            <w:pPr>
              <w:jc w:val="both"/>
            </w:pPr>
            <w:r>
              <w:t xml:space="preserve">Ook de verenigingen zullen </w:t>
            </w:r>
            <w:r w:rsidRPr="00444441">
              <w:t>bepaalde</w:t>
            </w:r>
            <w:r w:rsidRPr="00444441">
              <w:rPr>
                <w:u w:val="single"/>
              </w:rPr>
              <w:t xml:space="preserve"> gegevens </w:t>
            </w:r>
            <w:r w:rsidRPr="00444441">
              <w:t>moeten</w:t>
            </w:r>
            <w:r w:rsidRPr="00444441">
              <w:rPr>
                <w:u w:val="single"/>
              </w:rPr>
              <w:t xml:space="preserve"> overmaken naar een nieuwe databank</w:t>
            </w:r>
            <w:r>
              <w:t xml:space="preserve"> met kerngegevens over het p</w:t>
            </w:r>
            <w:r w:rsidR="00666148">
              <w:t xml:space="preserve">ersoneel van de lokale besturen. Het gaat om </w:t>
            </w:r>
            <w:r>
              <w:t>de gegevens over de</w:t>
            </w:r>
            <w:r w:rsidR="00666148">
              <w:t xml:space="preserve"> </w:t>
            </w:r>
            <w:r>
              <w:t xml:space="preserve">leidend ambtenaar </w:t>
            </w:r>
            <w:r w:rsidR="00666148">
              <w:t xml:space="preserve">en </w:t>
            </w:r>
            <w:r>
              <w:t>een overzicht van de personeelsleden</w:t>
            </w:r>
            <w:r w:rsidR="00666148">
              <w:t xml:space="preserve"> </w:t>
            </w:r>
            <w:r>
              <w:t>die namens de vereniging verantwoordelijk zijn voor de digitale</w:t>
            </w:r>
            <w:r w:rsidR="00666148">
              <w:t xml:space="preserve"> </w:t>
            </w:r>
            <w:r>
              <w:t>communicatie met de Vlaamse overheid</w:t>
            </w:r>
            <w:r w:rsidR="00666148">
              <w:t>.</w:t>
            </w:r>
          </w:p>
          <w:p w14:paraId="5E81A745" w14:textId="77777777" w:rsidR="00666148" w:rsidRDefault="00666148" w:rsidP="00444441">
            <w:pPr>
              <w:jc w:val="both"/>
            </w:pPr>
          </w:p>
          <w:p w14:paraId="2EFAEBCB" w14:textId="77777777" w:rsidR="00666148" w:rsidRPr="00444441" w:rsidRDefault="00666148" w:rsidP="00444441">
            <w:pPr>
              <w:jc w:val="both"/>
              <w:rPr>
                <w:i/>
              </w:rPr>
            </w:pPr>
            <w:r w:rsidRPr="00444441">
              <w:rPr>
                <w:i/>
              </w:rPr>
              <w:t>(Het blijft ook hier wachten op meer info van de Vlaamse regering</w:t>
            </w:r>
            <w:r>
              <w:rPr>
                <w:i/>
              </w:rPr>
              <w:t xml:space="preserve"> om dit concreet te maken.</w:t>
            </w:r>
            <w:r w:rsidRPr="00444441">
              <w:rPr>
                <w:i/>
              </w:rPr>
              <w:t>)</w:t>
            </w:r>
          </w:p>
          <w:p w14:paraId="6B348989" w14:textId="77777777" w:rsidR="00666148" w:rsidRDefault="00666148" w:rsidP="00444441">
            <w:pPr>
              <w:jc w:val="both"/>
            </w:pPr>
          </w:p>
          <w:p w14:paraId="598D2ED9" w14:textId="77777777" w:rsidR="00666148" w:rsidRPr="00444441" w:rsidRDefault="00666148" w:rsidP="00444441">
            <w:pPr>
              <w:jc w:val="both"/>
              <w:rPr>
                <w:sz w:val="16"/>
                <w:szCs w:val="16"/>
              </w:rPr>
            </w:pPr>
            <w:r w:rsidRPr="00444441">
              <w:rPr>
                <w:sz w:val="16"/>
                <w:szCs w:val="16"/>
              </w:rPr>
              <w:t>(</w:t>
            </w:r>
            <w:r>
              <w:rPr>
                <w:sz w:val="16"/>
                <w:szCs w:val="16"/>
              </w:rPr>
              <w:t xml:space="preserve">o.a. art. 481 DLB) </w:t>
            </w:r>
          </w:p>
          <w:p w14:paraId="184B3232" w14:textId="77777777" w:rsidR="00512166" w:rsidRPr="00013247" w:rsidRDefault="00512166" w:rsidP="00444441">
            <w:pPr>
              <w:jc w:val="both"/>
              <w:rPr>
                <w:lang w:val="nl-NL"/>
              </w:rPr>
            </w:pPr>
          </w:p>
        </w:tc>
      </w:tr>
    </w:tbl>
    <w:p w14:paraId="57BDBCD7" w14:textId="77777777" w:rsidR="00512166" w:rsidRDefault="00512166" w:rsidP="00444441">
      <w:pPr>
        <w:pStyle w:val="Kop2"/>
        <w:numPr>
          <w:ilvl w:val="0"/>
          <w:numId w:val="0"/>
        </w:numPr>
      </w:pPr>
    </w:p>
    <w:p w14:paraId="250272DA" w14:textId="77777777" w:rsidR="00BF3801" w:rsidRDefault="00BF3801" w:rsidP="00444441">
      <w:pPr>
        <w:pStyle w:val="Kop3"/>
      </w:pPr>
      <w:r>
        <w:t xml:space="preserve">Toezicht </w:t>
      </w:r>
    </w:p>
    <w:p w14:paraId="69FCDA80" w14:textId="77777777" w:rsidR="006B5A4C" w:rsidRDefault="006B5A4C" w:rsidP="006B5A4C">
      <w:r>
        <w:rPr>
          <w:b/>
        </w:rPr>
        <w:t>M</w:t>
      </w:r>
      <w:r w:rsidRPr="004D5E63">
        <w:rPr>
          <w:b/>
        </w:rPr>
        <w:t>eer info:</w:t>
      </w:r>
      <w:r>
        <w:t xml:space="preserve"> </w:t>
      </w:r>
      <w:hyperlink r:id="rId20" w:history="1">
        <w:r w:rsidRPr="00900156">
          <w:rPr>
            <w:rStyle w:val="Hyperlink"/>
          </w:rPr>
          <w:t>pieter.vanderstappen@vvsg.be</w:t>
        </w:r>
      </w:hyperlink>
    </w:p>
    <w:p w14:paraId="24576161" w14:textId="77777777" w:rsidR="006B5A4C" w:rsidRPr="006B5A4C" w:rsidRDefault="00512166" w:rsidP="00380F1B">
      <w:r>
        <w:t xml:space="preserve">Er verandert heel wat op het vlak van toezicht voor gemeenten, </w:t>
      </w:r>
      <w:proofErr w:type="spellStart"/>
      <w:r>
        <w:t>OCMW’s</w:t>
      </w:r>
      <w:proofErr w:type="spellEnd"/>
      <w:r>
        <w:t xml:space="preserve"> en hun afgeleiden. Hieronder focussen we enkel op wat specifiek is voor de welzijnsverenigingen.</w:t>
      </w:r>
      <w:r>
        <w:rPr>
          <w:rStyle w:val="Voetnootmarkering"/>
        </w:rPr>
        <w:footnoteReference w:id="4"/>
      </w:r>
      <w:r>
        <w:t xml:space="preserve"> </w:t>
      </w:r>
    </w:p>
    <w:p w14:paraId="473F89E6" w14:textId="77777777" w:rsidR="002C4B82" w:rsidRDefault="002C4B82" w:rsidP="002C4B82"/>
    <w:tbl>
      <w:tblPr>
        <w:tblW w:w="8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198" w:type="dxa"/>
        </w:tblCellMar>
        <w:tblLook w:val="04A0" w:firstRow="1" w:lastRow="0" w:firstColumn="1" w:lastColumn="0" w:noHBand="0" w:noVBand="1"/>
      </w:tblPr>
      <w:tblGrid>
        <w:gridCol w:w="1531"/>
        <w:gridCol w:w="6802"/>
      </w:tblGrid>
      <w:tr w:rsidR="00C26B1F" w:rsidRPr="00013247" w14:paraId="4A3FB225" w14:textId="77777777" w:rsidTr="00C150E9">
        <w:tc>
          <w:tcPr>
            <w:tcW w:w="1531" w:type="dxa"/>
            <w:tcMar>
              <w:right w:w="113" w:type="dxa"/>
            </w:tcMar>
            <w:vAlign w:val="center"/>
          </w:tcPr>
          <w:p w14:paraId="6B9A1737" w14:textId="77777777" w:rsidR="00C26B1F" w:rsidRPr="00013247" w:rsidRDefault="00C26B1F" w:rsidP="00EE42AA">
            <w:pPr>
              <w:jc w:val="center"/>
            </w:pPr>
            <w:r>
              <w:rPr>
                <w:noProof/>
                <w:lang w:eastAsia="nl-BE"/>
              </w:rPr>
              <w:drawing>
                <wp:inline distT="0" distB="0" distL="0" distR="0" wp14:anchorId="023D44CE" wp14:editId="03854FC2">
                  <wp:extent cx="720000" cy="720000"/>
                  <wp:effectExtent l="0" t="0" r="4445" b="444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2" w:type="dxa"/>
            <w:tcMar>
              <w:right w:w="113" w:type="dxa"/>
            </w:tcMar>
            <w:vAlign w:val="center"/>
          </w:tcPr>
          <w:p w14:paraId="117990F2" w14:textId="77777777" w:rsidR="00C26B1F" w:rsidRDefault="00C26B1F" w:rsidP="00EE42AA">
            <w:r w:rsidRPr="00013247">
              <w:t xml:space="preserve">Voor de oprichting van of toetreding tot een welzijnsvereniging is er </w:t>
            </w:r>
            <w:r w:rsidRPr="00EE42AA">
              <w:rPr>
                <w:u w:val="single"/>
              </w:rPr>
              <w:t>geen goedkeuring meer vereist van de gemeenteraad of gemeenteraden</w:t>
            </w:r>
            <w:r w:rsidRPr="00013247">
              <w:rPr>
                <w:b/>
              </w:rPr>
              <w:t>,</w:t>
            </w:r>
            <w:r w:rsidRPr="00013247">
              <w:t xml:space="preserve"> wel nog van de Vlaamse Regering.  Dit geldt ook voor </w:t>
            </w:r>
            <w:r>
              <w:t>de</w:t>
            </w:r>
            <w:r w:rsidRPr="00013247">
              <w:t xml:space="preserve"> substantiële</w:t>
            </w:r>
            <w:r>
              <w:t xml:space="preserve"> beslissingen van de vereniging:</w:t>
            </w:r>
            <w:r w:rsidRPr="00013247">
              <w:t xml:space="preserve"> statutenwijziging</w:t>
            </w:r>
            <w:r>
              <w:t>, verlenging duur en vrijwillige ontbinding.</w:t>
            </w:r>
            <w:r w:rsidRPr="00013247">
              <w:t xml:space="preserve"> </w:t>
            </w:r>
          </w:p>
          <w:p w14:paraId="7FBA400B" w14:textId="77777777" w:rsidR="00C26B1F" w:rsidRDefault="00C26B1F" w:rsidP="00EE42AA"/>
          <w:p w14:paraId="2737E5AD" w14:textId="77777777" w:rsidR="00C26B1F" w:rsidRDefault="00C26B1F" w:rsidP="00EE42AA">
            <w:r w:rsidRPr="00013247">
              <w:t xml:space="preserve">Ook het </w:t>
            </w:r>
            <w:r w:rsidRPr="00EE42AA">
              <w:rPr>
                <w:u w:val="single"/>
              </w:rPr>
              <w:t>voorafgaand advies van het college</w:t>
            </w:r>
            <w:r w:rsidR="00B33F3F">
              <w:rPr>
                <w:u w:val="single"/>
              </w:rPr>
              <w:t xml:space="preserve"> van burgemeester en schepenen</w:t>
            </w:r>
            <w:r w:rsidRPr="00EE42AA">
              <w:rPr>
                <w:u w:val="single"/>
              </w:rPr>
              <w:t xml:space="preserve"> werd geschrapt</w:t>
            </w:r>
            <w:r w:rsidRPr="00013247">
              <w:t>.</w:t>
            </w:r>
          </w:p>
          <w:p w14:paraId="2672E51B" w14:textId="77777777" w:rsidR="00C26B1F" w:rsidRDefault="00C26B1F" w:rsidP="00EE42AA"/>
          <w:p w14:paraId="20CC0CAF" w14:textId="77777777" w:rsidR="00C26B1F" w:rsidRDefault="00C26B1F" w:rsidP="00EE42AA">
            <w:pPr>
              <w:rPr>
                <w:sz w:val="16"/>
                <w:szCs w:val="16"/>
              </w:rPr>
            </w:pPr>
            <w:r w:rsidRPr="00EE42AA">
              <w:rPr>
                <w:sz w:val="16"/>
                <w:szCs w:val="16"/>
              </w:rPr>
              <w:t>(</w:t>
            </w:r>
            <w:r>
              <w:rPr>
                <w:sz w:val="16"/>
                <w:szCs w:val="16"/>
              </w:rPr>
              <w:t xml:space="preserve">o.a. </w:t>
            </w:r>
            <w:r w:rsidRPr="00EE42AA">
              <w:rPr>
                <w:sz w:val="16"/>
                <w:szCs w:val="16"/>
              </w:rPr>
              <w:t>art. 476 DLB)</w:t>
            </w:r>
          </w:p>
          <w:p w14:paraId="4F0F612D" w14:textId="77777777" w:rsidR="00B33F3F" w:rsidRDefault="00B33F3F" w:rsidP="00EE42AA">
            <w:pPr>
              <w:rPr>
                <w:sz w:val="16"/>
                <w:szCs w:val="16"/>
              </w:rPr>
            </w:pPr>
          </w:p>
          <w:p w14:paraId="1C0FDFC1" w14:textId="77777777" w:rsidR="00B33F3F" w:rsidRPr="00EE42AA" w:rsidRDefault="00B33F3F" w:rsidP="00EE42AA">
            <w:pPr>
              <w:rPr>
                <w:sz w:val="16"/>
                <w:szCs w:val="16"/>
              </w:rPr>
            </w:pPr>
            <w:r w:rsidRPr="00B33F3F">
              <w:rPr>
                <w:i/>
                <w:sz w:val="16"/>
                <w:szCs w:val="16"/>
              </w:rPr>
              <w:t xml:space="preserve">Opgelet voor </w:t>
            </w:r>
            <w:proofErr w:type="spellStart"/>
            <w:r w:rsidRPr="00B33F3F">
              <w:rPr>
                <w:i/>
                <w:sz w:val="16"/>
                <w:szCs w:val="16"/>
              </w:rPr>
              <w:t>OCMW’s</w:t>
            </w:r>
            <w:proofErr w:type="spellEnd"/>
            <w:r w:rsidRPr="00B33F3F">
              <w:rPr>
                <w:i/>
                <w:sz w:val="16"/>
                <w:szCs w:val="16"/>
              </w:rPr>
              <w:t xml:space="preserve"> van de rangemeenten en Voeren</w:t>
            </w:r>
            <w:r w:rsidRPr="00B33F3F">
              <w:rPr>
                <w:i/>
                <w:sz w:val="16"/>
                <w:szCs w:val="16"/>
                <w:vertAlign w:val="superscript"/>
              </w:rPr>
              <w:footnoteReference w:id="5"/>
            </w:r>
          </w:p>
          <w:p w14:paraId="2807B1E0" w14:textId="77777777" w:rsidR="00C26B1F" w:rsidRPr="00013247" w:rsidRDefault="00C26B1F" w:rsidP="00EE42AA">
            <w:pPr>
              <w:rPr>
                <w:lang w:val="nl-NL"/>
              </w:rPr>
            </w:pPr>
          </w:p>
        </w:tc>
      </w:tr>
      <w:tr w:rsidR="00C26B1F" w:rsidRPr="00013247" w14:paraId="29A8B8A7" w14:textId="77777777" w:rsidTr="00C150E9">
        <w:tc>
          <w:tcPr>
            <w:tcW w:w="1531" w:type="dxa"/>
            <w:tcMar>
              <w:right w:w="113" w:type="dxa"/>
            </w:tcMar>
            <w:vAlign w:val="center"/>
          </w:tcPr>
          <w:p w14:paraId="08A21222" w14:textId="77777777" w:rsidR="00C26B1F" w:rsidRPr="00013247" w:rsidRDefault="00C26B1F" w:rsidP="00EE42AA">
            <w:pPr>
              <w:jc w:val="center"/>
            </w:pPr>
            <w:r>
              <w:rPr>
                <w:noProof/>
                <w:lang w:eastAsia="nl-BE"/>
              </w:rPr>
              <w:drawing>
                <wp:inline distT="0" distB="0" distL="0" distR="0" wp14:anchorId="2C516C71" wp14:editId="4ABA06E7">
                  <wp:extent cx="720000" cy="720000"/>
                  <wp:effectExtent l="0" t="0" r="4445" b="444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2" w:type="dxa"/>
            <w:tcMar>
              <w:right w:w="113" w:type="dxa"/>
            </w:tcMar>
            <w:vAlign w:val="center"/>
          </w:tcPr>
          <w:p w14:paraId="4C9E49EA" w14:textId="77777777" w:rsidR="00C26B1F" w:rsidRDefault="00C26B1F" w:rsidP="00EE42AA">
            <w:r w:rsidRPr="00013247">
              <w:t xml:space="preserve">Het besluit van de Vlaamse Regering tot oprichting wordt aan het OCMW van de gemeente waar de maatschappelijke zetel gevestigd is, verzonden binnen </w:t>
            </w:r>
            <w:r w:rsidRPr="00EE42AA">
              <w:rPr>
                <w:u w:val="single"/>
              </w:rPr>
              <w:t>een termijn van negentig dagen</w:t>
            </w:r>
            <w:r w:rsidRPr="00013247">
              <w:t xml:space="preserve"> (en niet meer honderd</w:t>
            </w:r>
            <w:r>
              <w:t>).</w:t>
            </w:r>
          </w:p>
          <w:p w14:paraId="6F866C3F" w14:textId="77777777" w:rsidR="00C26B1F" w:rsidRDefault="00C26B1F" w:rsidP="00EE42AA"/>
          <w:p w14:paraId="12F3AFB7" w14:textId="77777777" w:rsidR="00EB7F96" w:rsidRPr="00013247" w:rsidRDefault="00C26B1F" w:rsidP="00EE42AA">
            <w:pPr>
              <w:rPr>
                <w:lang w:val="nl-NL"/>
              </w:rPr>
            </w:pPr>
            <w:r>
              <w:rPr>
                <w:sz w:val="16"/>
                <w:szCs w:val="16"/>
              </w:rPr>
              <w:t>(art. 476 DLB)</w:t>
            </w:r>
            <w:r>
              <w:rPr>
                <w:sz w:val="16"/>
                <w:szCs w:val="16"/>
              </w:rPr>
              <w:br/>
            </w:r>
          </w:p>
        </w:tc>
      </w:tr>
      <w:tr w:rsidR="00C26B1F" w:rsidRPr="00013247" w14:paraId="0AFF60D6" w14:textId="77777777" w:rsidTr="00C150E9">
        <w:tc>
          <w:tcPr>
            <w:tcW w:w="1531" w:type="dxa"/>
            <w:tcMar>
              <w:right w:w="113" w:type="dxa"/>
            </w:tcMar>
            <w:vAlign w:val="center"/>
          </w:tcPr>
          <w:p w14:paraId="48C0A8D9" w14:textId="77777777" w:rsidR="00EB7F96" w:rsidRDefault="00EB7F96" w:rsidP="00EE42AA">
            <w:pPr>
              <w:jc w:val="center"/>
            </w:pPr>
          </w:p>
          <w:p w14:paraId="221A5FEE" w14:textId="77777777" w:rsidR="00EB7F96" w:rsidRDefault="00EB7F96" w:rsidP="00EE42AA">
            <w:pPr>
              <w:jc w:val="center"/>
            </w:pPr>
          </w:p>
          <w:p w14:paraId="68DEF1CB" w14:textId="77777777" w:rsidR="00EB7F96" w:rsidRDefault="00EB7F96" w:rsidP="00EE42AA">
            <w:pPr>
              <w:jc w:val="center"/>
            </w:pPr>
          </w:p>
          <w:p w14:paraId="4BEEEBC3" w14:textId="77777777" w:rsidR="00EB7F96" w:rsidRDefault="00EB7F96" w:rsidP="00EE42AA">
            <w:pPr>
              <w:jc w:val="center"/>
            </w:pPr>
          </w:p>
          <w:p w14:paraId="27D76AB6" w14:textId="77777777" w:rsidR="00C26B1F" w:rsidRPr="00013247" w:rsidRDefault="00D0642E" w:rsidP="00EE42AA">
            <w:pPr>
              <w:jc w:val="center"/>
            </w:pPr>
            <w:r>
              <w:rPr>
                <w:noProof/>
                <w:lang w:eastAsia="nl-BE"/>
              </w:rPr>
              <w:drawing>
                <wp:inline distT="0" distB="0" distL="0" distR="0" wp14:anchorId="5DA7B108" wp14:editId="053F71A7">
                  <wp:extent cx="720000" cy="720000"/>
                  <wp:effectExtent l="0" t="0" r="4445" b="444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2" w:type="dxa"/>
            <w:tcMar>
              <w:right w:w="113" w:type="dxa"/>
            </w:tcMar>
            <w:vAlign w:val="center"/>
          </w:tcPr>
          <w:p w14:paraId="0E259DEA" w14:textId="2853EF0E" w:rsidR="00EB7F96" w:rsidRDefault="000875CF" w:rsidP="00444441">
            <w:r>
              <w:t>D</w:t>
            </w:r>
            <w:r w:rsidR="00D0642E">
              <w:t xml:space="preserve">e </w:t>
            </w:r>
            <w:r w:rsidRPr="000875CF">
              <w:t xml:space="preserve">verenigingen </w:t>
            </w:r>
            <w:r w:rsidRPr="00444441">
              <w:rPr>
                <w:u w:val="single"/>
              </w:rPr>
              <w:t>bezorgen</w:t>
            </w:r>
            <w:r>
              <w:t xml:space="preserve"> </w:t>
            </w:r>
            <w:r w:rsidRPr="000875CF">
              <w:t xml:space="preserve">hun </w:t>
            </w:r>
            <w:r w:rsidRPr="00444441">
              <w:rPr>
                <w:u w:val="single"/>
              </w:rPr>
              <w:t>beleidsrapporten</w:t>
            </w:r>
            <w:r w:rsidR="008A2C77">
              <w:rPr>
                <w:u w:val="single"/>
              </w:rPr>
              <w:t xml:space="preserve"> (meerjarenplan, aanpassing meerjarenplan en jaarrekening)</w:t>
            </w:r>
            <w:r w:rsidRPr="00444441">
              <w:rPr>
                <w:u w:val="single"/>
              </w:rPr>
              <w:t xml:space="preserve"> en de lijsten met de besluiten </w:t>
            </w:r>
            <w:r w:rsidRPr="000875CF">
              <w:t xml:space="preserve">van </w:t>
            </w:r>
            <w:r w:rsidR="00D0642E">
              <w:t>de</w:t>
            </w:r>
            <w:r w:rsidRPr="000875CF">
              <w:t xml:space="preserve"> raad van bestuur </w:t>
            </w:r>
            <w:r w:rsidR="00D0642E">
              <w:t xml:space="preserve">en </w:t>
            </w:r>
            <w:r w:rsidRPr="000875CF">
              <w:t xml:space="preserve">de algemene vergadering </w:t>
            </w:r>
            <w:r w:rsidRPr="00444441">
              <w:rPr>
                <w:u w:val="single"/>
              </w:rPr>
              <w:t xml:space="preserve">aan </w:t>
            </w:r>
            <w:r w:rsidR="00E92D7C" w:rsidRPr="00444441">
              <w:rPr>
                <w:u w:val="single"/>
              </w:rPr>
              <w:t>de voorzitter van het vast bureau</w:t>
            </w:r>
            <w:r w:rsidR="00E92D7C">
              <w:t xml:space="preserve"> (=</w:t>
            </w:r>
            <w:r w:rsidR="006B4811">
              <w:t xml:space="preserve"> </w:t>
            </w:r>
            <w:r w:rsidR="00E92D7C">
              <w:t xml:space="preserve">de burgemeester) van </w:t>
            </w:r>
            <w:r w:rsidRPr="000875CF">
              <w:t>het O</w:t>
            </w:r>
            <w:bookmarkStart w:id="2" w:name="_GoBack"/>
            <w:bookmarkEnd w:id="2"/>
            <w:r w:rsidRPr="000875CF">
              <w:t>CMW van de gemeente waar de zetel zich bevindt</w:t>
            </w:r>
            <w:r w:rsidR="00D0642E">
              <w:t xml:space="preserve">. </w:t>
            </w:r>
          </w:p>
          <w:p w14:paraId="5427CCA9" w14:textId="77777777" w:rsidR="00EB7F96" w:rsidRDefault="00EB7F96" w:rsidP="00444441"/>
          <w:p w14:paraId="15E34125" w14:textId="1CB41C91" w:rsidR="00D0642E" w:rsidRDefault="00D0642E" w:rsidP="00444441">
            <w:r>
              <w:t xml:space="preserve">Waarna een publicatie volgt op de </w:t>
            </w:r>
            <w:proofErr w:type="spellStart"/>
            <w:r>
              <w:t>webtoepassing</w:t>
            </w:r>
            <w:proofErr w:type="spellEnd"/>
            <w:r>
              <w:t xml:space="preserve"> van de gemeente.</w:t>
            </w:r>
            <w:r w:rsidR="004821CA">
              <w:t xml:space="preserve"> </w:t>
            </w:r>
            <w:r w:rsidR="004821CA" w:rsidRPr="004821CA">
              <w:t xml:space="preserve">Op dezelfde dag als de publicatie op de webstek van de gemeente van de zetel, wordt de </w:t>
            </w:r>
            <w:r w:rsidR="004821CA" w:rsidRPr="00F3663D">
              <w:rPr>
                <w:u w:val="single"/>
              </w:rPr>
              <w:t>toezichthoudende overheid</w:t>
            </w:r>
            <w:r w:rsidR="004821CA" w:rsidRPr="004821CA">
              <w:t xml:space="preserve"> </w:t>
            </w:r>
            <w:r w:rsidR="004821CA" w:rsidRPr="00F3663D">
              <w:rPr>
                <w:u w:val="single"/>
              </w:rPr>
              <w:t xml:space="preserve">door de vereniging op de hoogte gebracht </w:t>
            </w:r>
            <w:r w:rsidR="004821CA" w:rsidRPr="004821CA">
              <w:t>van deze bekendmaking, waarna de toezichthoudende overheid dertig dagen de tijd heeft om het besluit eventueel te vernietigen.</w:t>
            </w:r>
          </w:p>
          <w:p w14:paraId="4A46E270" w14:textId="77777777" w:rsidR="00D0642E" w:rsidRDefault="00D0642E" w:rsidP="00444441"/>
          <w:p w14:paraId="1C69ACCB" w14:textId="77777777" w:rsidR="00D0642E" w:rsidRPr="00444441" w:rsidRDefault="00D0642E" w:rsidP="00444441">
            <w:pPr>
              <w:rPr>
                <w:sz w:val="16"/>
                <w:szCs w:val="16"/>
              </w:rPr>
            </w:pPr>
            <w:r>
              <w:rPr>
                <w:sz w:val="16"/>
                <w:szCs w:val="16"/>
              </w:rPr>
              <w:t>(o.a. art. 485 DLB)</w:t>
            </w:r>
          </w:p>
          <w:p w14:paraId="1D16B3E0" w14:textId="77777777" w:rsidR="00C26B1F" w:rsidRPr="00013247" w:rsidRDefault="00C26B1F" w:rsidP="00444441">
            <w:pPr>
              <w:rPr>
                <w:lang w:val="nl-NL"/>
              </w:rPr>
            </w:pPr>
          </w:p>
        </w:tc>
      </w:tr>
      <w:tr w:rsidR="00256059" w:rsidRPr="00013247" w14:paraId="7EE0A330" w14:textId="77777777" w:rsidTr="00C150E9">
        <w:tc>
          <w:tcPr>
            <w:tcW w:w="1531" w:type="dxa"/>
            <w:tcMar>
              <w:right w:w="113" w:type="dxa"/>
            </w:tcMar>
            <w:vAlign w:val="center"/>
          </w:tcPr>
          <w:p w14:paraId="7A750ECE" w14:textId="27A62741" w:rsidR="00256059" w:rsidRDefault="00256059" w:rsidP="00EE42AA">
            <w:pPr>
              <w:jc w:val="center"/>
            </w:pPr>
            <w:r>
              <w:rPr>
                <w:noProof/>
                <w:lang w:eastAsia="nl-BE"/>
              </w:rPr>
              <w:drawing>
                <wp:inline distT="0" distB="0" distL="0" distR="0" wp14:anchorId="2C3CBA96" wp14:editId="30CEDB65">
                  <wp:extent cx="720000" cy="720000"/>
                  <wp:effectExtent l="0" t="0" r="4445"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2" w:type="dxa"/>
            <w:tcMar>
              <w:right w:w="113" w:type="dxa"/>
            </w:tcMar>
            <w:vAlign w:val="center"/>
          </w:tcPr>
          <w:p w14:paraId="1B4A0842" w14:textId="55ABE07E" w:rsidR="00256059" w:rsidRDefault="00AF125E" w:rsidP="00256059">
            <w:r>
              <w:t>V</w:t>
            </w:r>
            <w:r w:rsidR="00256059" w:rsidRPr="00256059">
              <w:t xml:space="preserve">oor </w:t>
            </w:r>
            <w:r w:rsidR="00256059">
              <w:t>alle</w:t>
            </w:r>
            <w:r w:rsidR="00256059" w:rsidRPr="00256059">
              <w:t xml:space="preserve"> beslissingen die </w:t>
            </w:r>
            <w:r w:rsidR="00256059">
              <w:t>onderworpen</w:t>
            </w:r>
            <w:r w:rsidR="00256059" w:rsidRPr="00256059">
              <w:t xml:space="preserve"> </w:t>
            </w:r>
            <w:r w:rsidR="00256059">
              <w:t xml:space="preserve">zijn </w:t>
            </w:r>
            <w:r w:rsidR="00256059" w:rsidRPr="00256059">
              <w:t>aan de goedkeuring van de toezichtho</w:t>
            </w:r>
            <w:r w:rsidR="00256059">
              <w:t>udende overheid</w:t>
            </w:r>
            <w:r w:rsidR="00256059" w:rsidRPr="00256059">
              <w:t xml:space="preserve"> geldt dat </w:t>
            </w:r>
            <w:r w:rsidR="002175A9">
              <w:t xml:space="preserve">ze als </w:t>
            </w:r>
            <w:r w:rsidR="002175A9" w:rsidRPr="00AF5A53">
              <w:rPr>
                <w:u w:val="single"/>
              </w:rPr>
              <w:t xml:space="preserve">goedgekeurd </w:t>
            </w:r>
            <w:r w:rsidR="002175A9">
              <w:t>worden beschouwd</w:t>
            </w:r>
            <w:r w:rsidR="00256059">
              <w:t xml:space="preserve"> </w:t>
            </w:r>
            <w:r w:rsidR="00256059" w:rsidRPr="00AF5A53">
              <w:rPr>
                <w:u w:val="single"/>
              </w:rPr>
              <w:t>als</w:t>
            </w:r>
            <w:r w:rsidR="00256059" w:rsidRPr="00256059">
              <w:t xml:space="preserve"> </w:t>
            </w:r>
            <w:r w:rsidR="00256059">
              <w:t xml:space="preserve">de toezichthouder </w:t>
            </w:r>
            <w:r w:rsidR="00256059" w:rsidRPr="00256059">
              <w:t xml:space="preserve">op de laatste dag van de </w:t>
            </w:r>
            <w:r w:rsidR="00256059">
              <w:t xml:space="preserve">voorziene </w:t>
            </w:r>
            <w:r w:rsidR="00256059" w:rsidRPr="00AF5A53">
              <w:rPr>
                <w:u w:val="single"/>
              </w:rPr>
              <w:t>termijn geen beslissing</w:t>
            </w:r>
            <w:r w:rsidR="00256059" w:rsidRPr="00256059">
              <w:t xml:space="preserve"> </w:t>
            </w:r>
            <w:r w:rsidR="00256059">
              <w:t>over de goedkeuringsvraag heeft verstuurd.</w:t>
            </w:r>
          </w:p>
          <w:p w14:paraId="42A9686D" w14:textId="7E44AD22" w:rsidR="00256059" w:rsidRDefault="00256059" w:rsidP="00256059"/>
          <w:p w14:paraId="2BB2ED96" w14:textId="35A7B129" w:rsidR="00256059" w:rsidRPr="00AF125E" w:rsidRDefault="00256059" w:rsidP="00256059">
            <w:pPr>
              <w:rPr>
                <w:sz w:val="16"/>
                <w:szCs w:val="16"/>
              </w:rPr>
            </w:pPr>
            <w:r w:rsidRPr="00AF125E">
              <w:rPr>
                <w:sz w:val="16"/>
                <w:szCs w:val="16"/>
              </w:rPr>
              <w:t>(art. 474, §5 DLB, toegevoegd door het wijzigingsdecreet van 25 mei 2018)</w:t>
            </w:r>
          </w:p>
          <w:p w14:paraId="77C5EB4B" w14:textId="0F2612BC" w:rsidR="00256059" w:rsidRDefault="00256059" w:rsidP="00256059"/>
        </w:tc>
      </w:tr>
    </w:tbl>
    <w:p w14:paraId="023297A9" w14:textId="77777777" w:rsidR="00C150E9" w:rsidRDefault="00C150E9" w:rsidP="002C4B82"/>
    <w:p w14:paraId="69F0DE6C" w14:textId="77777777" w:rsidR="006B5A4C" w:rsidRDefault="006B5A4C" w:rsidP="00444441">
      <w:pPr>
        <w:pStyle w:val="Kop3"/>
      </w:pPr>
      <w:r>
        <w:t>Financieel management</w:t>
      </w:r>
    </w:p>
    <w:p w14:paraId="5891BFA2" w14:textId="77777777" w:rsidR="006B5A4C" w:rsidRDefault="006B5A4C" w:rsidP="006B5A4C">
      <w:r w:rsidRPr="00380F1B">
        <w:rPr>
          <w:b/>
        </w:rPr>
        <w:t>Meer info:</w:t>
      </w:r>
      <w:r w:rsidRPr="006B5A4C">
        <w:t xml:space="preserve"> </w:t>
      </w:r>
      <w:hyperlink r:id="rId21" w:history="1">
        <w:r w:rsidRPr="00900156">
          <w:rPr>
            <w:rStyle w:val="Hyperlink"/>
          </w:rPr>
          <w:t>ben.gilot@vvsg.be</w:t>
        </w:r>
      </w:hyperlink>
    </w:p>
    <w:p w14:paraId="6A7197FE" w14:textId="77777777" w:rsidR="006B5A4C" w:rsidRPr="006B5A4C" w:rsidRDefault="006B5A4C" w:rsidP="006B5A4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6804"/>
      </w:tblGrid>
      <w:tr w:rsidR="00492477" w:rsidRPr="006B5A4C" w14:paraId="2F04D25C" w14:textId="77777777" w:rsidTr="00C150E9">
        <w:tc>
          <w:tcPr>
            <w:tcW w:w="1531" w:type="dxa"/>
            <w:tcBorders>
              <w:top w:val="single" w:sz="4" w:space="0" w:color="000000"/>
              <w:left w:val="single" w:sz="4" w:space="0" w:color="000000"/>
              <w:bottom w:val="single" w:sz="4" w:space="0" w:color="000000"/>
              <w:right w:val="single" w:sz="4" w:space="0" w:color="000000"/>
            </w:tcBorders>
            <w:vAlign w:val="center"/>
          </w:tcPr>
          <w:p w14:paraId="22E0EBED" w14:textId="77777777" w:rsidR="00492477" w:rsidRDefault="00492477" w:rsidP="00341BFF">
            <w:pPr>
              <w:jc w:val="center"/>
              <w:rPr>
                <w:noProof/>
                <w:lang w:eastAsia="nl-BE"/>
              </w:rPr>
            </w:pPr>
            <w:r>
              <w:rPr>
                <w:noProof/>
                <w:lang w:eastAsia="nl-BE"/>
              </w:rPr>
              <w:drawing>
                <wp:inline distT="0" distB="0" distL="0" distR="0" wp14:anchorId="6DF7BCCD" wp14:editId="5412F9F6">
                  <wp:extent cx="720000" cy="720000"/>
                  <wp:effectExtent l="0" t="0" r="4445" b="4445"/>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0000" cy="720000"/>
                          </a:xfrm>
                          <a:prstGeom prst="rect">
                            <a:avLst/>
                          </a:prstGeom>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14:paraId="29C7B838" w14:textId="77777777" w:rsidR="00492477" w:rsidRDefault="00492477" w:rsidP="00492477">
            <w:r>
              <w:t>De welzijnsvereniging</w:t>
            </w:r>
            <w:r w:rsidR="006054FF">
              <w:t xml:space="preserve"> moet</w:t>
            </w:r>
            <w:r>
              <w:t xml:space="preserve"> </w:t>
            </w:r>
            <w:r w:rsidRPr="00444441">
              <w:rPr>
                <w:u w:val="single"/>
              </w:rPr>
              <w:t xml:space="preserve">regels </w:t>
            </w:r>
            <w:r w:rsidR="006054FF" w:rsidRPr="00444441">
              <w:rPr>
                <w:u w:val="single"/>
              </w:rPr>
              <w:t>vastleggen</w:t>
            </w:r>
            <w:r w:rsidR="00C97236" w:rsidRPr="00444441">
              <w:rPr>
                <w:u w:val="single"/>
              </w:rPr>
              <w:t xml:space="preserve"> over</w:t>
            </w:r>
            <w:r w:rsidRPr="00444441">
              <w:rPr>
                <w:u w:val="single"/>
              </w:rPr>
              <w:t xml:space="preserve"> </w:t>
            </w:r>
            <w:r w:rsidR="00C97236" w:rsidRPr="00444441">
              <w:rPr>
                <w:u w:val="single"/>
              </w:rPr>
              <w:t>de uitgavencyclus</w:t>
            </w:r>
            <w:r w:rsidR="00C97236">
              <w:t xml:space="preserve">: </w:t>
            </w:r>
            <w:r>
              <w:t>het aangaan van verbintenissen, de kredietbewaking, de wetmatigheidscontrole en de ondertekening van de girale betalingsorders.</w:t>
            </w:r>
          </w:p>
          <w:p w14:paraId="6DF2FD01" w14:textId="77777777" w:rsidR="00492477" w:rsidRDefault="00492477" w:rsidP="00492477"/>
          <w:p w14:paraId="1DE10634" w14:textId="77777777" w:rsidR="00492477" w:rsidRDefault="00492477" w:rsidP="00492477">
            <w:pPr>
              <w:rPr>
                <w:i/>
              </w:rPr>
            </w:pPr>
            <w:r>
              <w:rPr>
                <w:i/>
              </w:rPr>
              <w:t xml:space="preserve">(Verenigingen die dat nog niet </w:t>
            </w:r>
            <w:r w:rsidR="00E92D7C">
              <w:rPr>
                <w:i/>
              </w:rPr>
              <w:t xml:space="preserve">allemaal </w:t>
            </w:r>
            <w:r>
              <w:rPr>
                <w:i/>
              </w:rPr>
              <w:t xml:space="preserve">bepaald hebben, moeten dat </w:t>
            </w:r>
            <w:r w:rsidR="00E92D7C">
              <w:rPr>
                <w:i/>
              </w:rPr>
              <w:t>tegen 1 januari 2019</w:t>
            </w:r>
            <w:r>
              <w:rPr>
                <w:i/>
              </w:rPr>
              <w:t xml:space="preserve"> doen).</w:t>
            </w:r>
          </w:p>
          <w:p w14:paraId="5CB7AFA9" w14:textId="77777777" w:rsidR="00492477" w:rsidRDefault="00492477" w:rsidP="00492477">
            <w:pPr>
              <w:rPr>
                <w:i/>
              </w:rPr>
            </w:pPr>
          </w:p>
          <w:p w14:paraId="0DDADE22" w14:textId="77777777" w:rsidR="00492477" w:rsidRPr="00444441" w:rsidRDefault="00492477" w:rsidP="00492477">
            <w:pPr>
              <w:rPr>
                <w:sz w:val="16"/>
                <w:szCs w:val="16"/>
              </w:rPr>
            </w:pPr>
            <w:r>
              <w:rPr>
                <w:sz w:val="16"/>
                <w:szCs w:val="16"/>
              </w:rPr>
              <w:t>(art. 485 DLB)</w:t>
            </w:r>
          </w:p>
          <w:p w14:paraId="20887BDF" w14:textId="77777777" w:rsidR="00492477" w:rsidRPr="006B5A4C" w:rsidRDefault="00492477" w:rsidP="00492477"/>
        </w:tc>
      </w:tr>
      <w:tr w:rsidR="006B5A4C" w:rsidRPr="006B5A4C" w14:paraId="4876737E" w14:textId="77777777" w:rsidTr="00C150E9">
        <w:tc>
          <w:tcPr>
            <w:tcW w:w="1531" w:type="dxa"/>
            <w:tcBorders>
              <w:top w:val="single" w:sz="4" w:space="0" w:color="000000"/>
              <w:left w:val="single" w:sz="4" w:space="0" w:color="000000"/>
              <w:bottom w:val="single" w:sz="4" w:space="0" w:color="000000"/>
              <w:right w:val="single" w:sz="4" w:space="0" w:color="000000"/>
            </w:tcBorders>
            <w:vAlign w:val="center"/>
          </w:tcPr>
          <w:p w14:paraId="6706DDAC" w14:textId="77777777" w:rsidR="006B5A4C" w:rsidRPr="006B5A4C" w:rsidRDefault="00341BFF" w:rsidP="00444441">
            <w:pPr>
              <w:jc w:val="center"/>
              <w:rPr>
                <w:lang w:val="nl-NL"/>
              </w:rPr>
            </w:pPr>
            <w:r>
              <w:rPr>
                <w:noProof/>
                <w:lang w:eastAsia="nl-BE"/>
              </w:rPr>
              <w:drawing>
                <wp:inline distT="0" distB="0" distL="0" distR="0" wp14:anchorId="770C2503" wp14:editId="27F4CB58">
                  <wp:extent cx="720000" cy="720000"/>
                  <wp:effectExtent l="0" t="0" r="4445" b="444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14:paraId="0D730FEA" w14:textId="6961BE37" w:rsidR="006B5A4C" w:rsidRDefault="006B5A4C" w:rsidP="00380F1B">
            <w:r w:rsidRPr="006B5A4C">
              <w:t>Het</w:t>
            </w:r>
            <w:r w:rsidRPr="006B5A4C">
              <w:rPr>
                <w:b/>
              </w:rPr>
              <w:t xml:space="preserve"> </w:t>
            </w:r>
            <w:r w:rsidRPr="00444441">
              <w:rPr>
                <w:u w:val="single"/>
              </w:rPr>
              <w:t>meerjarenplan, en de aanpassingen daarvan</w:t>
            </w:r>
            <w:r w:rsidR="006B4811">
              <w:rPr>
                <w:u w:val="single"/>
              </w:rPr>
              <w:t>,</w:t>
            </w:r>
            <w:r w:rsidRPr="006B5A4C">
              <w:t xml:space="preserve"> moet niet meer goedgekeurd worden door </w:t>
            </w:r>
            <w:proofErr w:type="spellStart"/>
            <w:r w:rsidR="008A2C77">
              <w:t>de</w:t>
            </w:r>
            <w:r w:rsidRPr="006B5A4C">
              <w:t>gemeenteraden</w:t>
            </w:r>
            <w:proofErr w:type="spellEnd"/>
            <w:r w:rsidRPr="006B5A4C">
              <w:t xml:space="preserve"> van de deelnemende </w:t>
            </w:r>
            <w:proofErr w:type="spellStart"/>
            <w:r w:rsidRPr="006B5A4C">
              <w:t>OCMW’s</w:t>
            </w:r>
            <w:proofErr w:type="spellEnd"/>
            <w:r w:rsidRPr="006B5A4C">
              <w:t>. De vaststelling gebeurt door de raad van bestuur, de goedkeuring door de algemene vergadering.</w:t>
            </w:r>
          </w:p>
          <w:p w14:paraId="12364439" w14:textId="77777777" w:rsidR="00341BFF" w:rsidRDefault="00341BFF" w:rsidP="00380F1B"/>
          <w:p w14:paraId="46E40BBC" w14:textId="77777777" w:rsidR="006B5A4C" w:rsidRDefault="00341BFF" w:rsidP="006B5A4C">
            <w:pPr>
              <w:rPr>
                <w:sz w:val="16"/>
                <w:szCs w:val="16"/>
              </w:rPr>
            </w:pPr>
            <w:r>
              <w:rPr>
                <w:sz w:val="16"/>
                <w:szCs w:val="16"/>
              </w:rPr>
              <w:t>(art.</w:t>
            </w:r>
            <w:r w:rsidR="00C97236">
              <w:rPr>
                <w:sz w:val="16"/>
                <w:szCs w:val="16"/>
              </w:rPr>
              <w:t xml:space="preserve"> 490, §1 DLB</w:t>
            </w:r>
            <w:r>
              <w:rPr>
                <w:sz w:val="16"/>
                <w:szCs w:val="16"/>
              </w:rPr>
              <w:t>)</w:t>
            </w:r>
          </w:p>
          <w:p w14:paraId="35A2FAA6" w14:textId="77777777" w:rsidR="00B33F3F" w:rsidRPr="00B33F3F" w:rsidRDefault="00B33F3F" w:rsidP="006B5A4C">
            <w:pPr>
              <w:rPr>
                <w:sz w:val="16"/>
                <w:szCs w:val="16"/>
              </w:rPr>
            </w:pPr>
          </w:p>
        </w:tc>
      </w:tr>
      <w:tr w:rsidR="006B5A4C" w:rsidRPr="006B5A4C" w14:paraId="0EBBEE5B" w14:textId="77777777" w:rsidTr="00C150E9">
        <w:tc>
          <w:tcPr>
            <w:tcW w:w="1531" w:type="dxa"/>
            <w:tcBorders>
              <w:top w:val="single" w:sz="4" w:space="0" w:color="000000"/>
              <w:left w:val="single" w:sz="4" w:space="0" w:color="000000"/>
              <w:bottom w:val="single" w:sz="4" w:space="0" w:color="000000"/>
              <w:right w:val="single" w:sz="4" w:space="0" w:color="000000"/>
            </w:tcBorders>
            <w:vAlign w:val="center"/>
          </w:tcPr>
          <w:p w14:paraId="033983AA" w14:textId="77777777" w:rsidR="006B5A4C" w:rsidRPr="006B5A4C" w:rsidRDefault="00341BFF" w:rsidP="00444441">
            <w:pPr>
              <w:jc w:val="center"/>
              <w:rPr>
                <w:lang w:val="nl-NL"/>
              </w:rPr>
            </w:pPr>
            <w:bookmarkStart w:id="3" w:name="_Hlk508362323"/>
            <w:r>
              <w:rPr>
                <w:noProof/>
                <w:lang w:eastAsia="nl-BE"/>
              </w:rPr>
              <w:lastRenderedPageBreak/>
              <w:drawing>
                <wp:inline distT="0" distB="0" distL="0" distR="0" wp14:anchorId="7529AE21" wp14:editId="5B0A2CE9">
                  <wp:extent cx="720000" cy="720000"/>
                  <wp:effectExtent l="0" t="0" r="4445" b="444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14:paraId="507CD0E5" w14:textId="77777777" w:rsidR="006B5A4C" w:rsidRPr="006B5A4C" w:rsidRDefault="006B5A4C" w:rsidP="00380F1B">
            <w:r w:rsidRPr="006B5A4C">
              <w:t>De</w:t>
            </w:r>
            <w:r w:rsidRPr="006B5A4C">
              <w:rPr>
                <w:b/>
              </w:rPr>
              <w:t xml:space="preserve"> </w:t>
            </w:r>
            <w:r w:rsidRPr="00444441">
              <w:rPr>
                <w:u w:val="single"/>
              </w:rPr>
              <w:t>jaarrekening</w:t>
            </w:r>
            <w:r w:rsidRPr="006B5A4C">
              <w:t xml:space="preserve"> wordt ten laatste op </w:t>
            </w:r>
            <w:r w:rsidR="00C97236">
              <w:t>3</w:t>
            </w:r>
            <w:r w:rsidR="00C97236" w:rsidRPr="006B5A4C">
              <w:t xml:space="preserve">0 </w:t>
            </w:r>
            <w:r w:rsidRPr="006B5A4C">
              <w:t xml:space="preserve">juni van het volgend boekjaar </w:t>
            </w:r>
            <w:r w:rsidRPr="00444441">
              <w:rPr>
                <w:u w:val="single"/>
              </w:rPr>
              <w:t>vastgesteld door de algemene vergadering</w:t>
            </w:r>
            <w:r w:rsidRPr="006B5A4C">
              <w:t xml:space="preserve"> en wordt binnen de 20 dagen bezorgd aan de OCMW-raden van de deelnemende </w:t>
            </w:r>
            <w:proofErr w:type="spellStart"/>
            <w:r w:rsidRPr="006B5A4C">
              <w:t>OCMW’s</w:t>
            </w:r>
            <w:proofErr w:type="spellEnd"/>
            <w:r w:rsidRPr="006B5A4C">
              <w:t xml:space="preserve">. </w:t>
            </w:r>
          </w:p>
          <w:p w14:paraId="5F66CD9D" w14:textId="77777777" w:rsidR="00C97236" w:rsidRDefault="00C97236" w:rsidP="006B5A4C"/>
          <w:p w14:paraId="05EAEA83" w14:textId="77777777" w:rsidR="00C97236" w:rsidRDefault="006B5A4C" w:rsidP="006B5A4C">
            <w:r w:rsidRPr="006B5A4C">
              <w:t xml:space="preserve">De </w:t>
            </w:r>
            <w:r w:rsidRPr="00444441">
              <w:rPr>
                <w:u w:val="single"/>
              </w:rPr>
              <w:t>OCMW-raden</w:t>
            </w:r>
            <w:r w:rsidRPr="006B5A4C">
              <w:t xml:space="preserve"> hebben 50 dagen om hierover </w:t>
            </w:r>
            <w:r w:rsidRPr="00444441">
              <w:rPr>
                <w:u w:val="single"/>
              </w:rPr>
              <w:t>advies</w:t>
            </w:r>
            <w:r w:rsidRPr="006B5A4C">
              <w:t xml:space="preserve"> uit te brengen aan de toezichthoudende overheid. Doen ze dit niet binnen die termijn, dan wordt dat beschouwd als een gegeven positief advies. </w:t>
            </w:r>
            <w:r w:rsidRPr="006B5A4C">
              <w:br/>
            </w:r>
          </w:p>
          <w:p w14:paraId="20335B57" w14:textId="77777777" w:rsidR="006B5A4C" w:rsidRDefault="006B5A4C" w:rsidP="006B5A4C">
            <w:r w:rsidRPr="006B5A4C">
              <w:t xml:space="preserve">De </w:t>
            </w:r>
            <w:r w:rsidRPr="00444441">
              <w:rPr>
                <w:u w:val="single"/>
              </w:rPr>
              <w:t>toezichthoudende overheid keurt</w:t>
            </w:r>
            <w:r w:rsidRPr="006B5A4C">
              <w:t xml:space="preserve"> de jaarrekening </w:t>
            </w:r>
            <w:r w:rsidRPr="00444441">
              <w:rPr>
                <w:u w:val="single"/>
              </w:rPr>
              <w:t>goed</w:t>
            </w:r>
            <w:r w:rsidRPr="006B5A4C">
              <w:t>. Spreekt de toezichthoudende overheid zich niet uit binnen de 150 dagen nadat ze in kennis gesteld werd van de bekendmaking van de jaarrekening, dan wordt ze geacht de jaarrekening goedgekeurd te hebben.</w:t>
            </w:r>
          </w:p>
          <w:p w14:paraId="6D43D179" w14:textId="77777777" w:rsidR="00341BFF" w:rsidRDefault="00341BFF" w:rsidP="006B5A4C"/>
          <w:p w14:paraId="5DC809FD" w14:textId="77777777" w:rsidR="00341BFF" w:rsidRPr="00444441" w:rsidRDefault="00341BFF" w:rsidP="006B5A4C">
            <w:pPr>
              <w:rPr>
                <w:sz w:val="16"/>
                <w:szCs w:val="16"/>
              </w:rPr>
            </w:pPr>
            <w:r>
              <w:rPr>
                <w:sz w:val="16"/>
                <w:szCs w:val="16"/>
              </w:rPr>
              <w:t>(art.</w:t>
            </w:r>
            <w:r w:rsidR="00C97236">
              <w:rPr>
                <w:sz w:val="16"/>
                <w:szCs w:val="16"/>
              </w:rPr>
              <w:t xml:space="preserve"> 490, §§ 2-4 DLB</w:t>
            </w:r>
            <w:r>
              <w:rPr>
                <w:sz w:val="16"/>
                <w:szCs w:val="16"/>
              </w:rPr>
              <w:t>)</w:t>
            </w:r>
          </w:p>
          <w:p w14:paraId="5E3412A3" w14:textId="77777777" w:rsidR="006B5A4C" w:rsidRPr="006B5A4C" w:rsidRDefault="006B5A4C" w:rsidP="006B5A4C">
            <w:pPr>
              <w:rPr>
                <w:lang w:val="nl-NL"/>
              </w:rPr>
            </w:pPr>
          </w:p>
        </w:tc>
      </w:tr>
      <w:bookmarkEnd w:id="3"/>
      <w:tr w:rsidR="00933048" w:rsidRPr="00BF3801" w14:paraId="512F8E67" w14:textId="77777777" w:rsidTr="00933048">
        <w:tc>
          <w:tcPr>
            <w:tcW w:w="1531" w:type="dxa"/>
            <w:tcBorders>
              <w:top w:val="single" w:sz="4" w:space="0" w:color="000000"/>
              <w:left w:val="single" w:sz="4" w:space="0" w:color="000000"/>
              <w:bottom w:val="single" w:sz="4" w:space="0" w:color="000000"/>
              <w:right w:val="single" w:sz="4" w:space="0" w:color="000000"/>
            </w:tcBorders>
            <w:vAlign w:val="center"/>
          </w:tcPr>
          <w:p w14:paraId="5AB3C531" w14:textId="77777777" w:rsidR="00933048" w:rsidRDefault="00933048" w:rsidP="00D92833">
            <w:pPr>
              <w:jc w:val="center"/>
              <w:rPr>
                <w:noProof/>
                <w:lang w:eastAsia="nl-BE"/>
              </w:rPr>
            </w:pPr>
            <w:r>
              <w:rPr>
                <w:noProof/>
                <w:lang w:eastAsia="nl-BE"/>
              </w:rPr>
              <w:drawing>
                <wp:inline distT="0" distB="0" distL="0" distR="0" wp14:anchorId="3069C97A" wp14:editId="65631733">
                  <wp:extent cx="716400" cy="720000"/>
                  <wp:effectExtent l="0" t="0" r="7620"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6400" cy="720000"/>
                          </a:xfrm>
                          <a:prstGeom prst="rect">
                            <a:avLst/>
                          </a:prstGeom>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tcPr>
          <w:p w14:paraId="3DA0C21E" w14:textId="49ABABFA" w:rsidR="00933048" w:rsidRDefault="00933048" w:rsidP="00D92833">
            <w:r w:rsidRPr="006B4811">
              <w:t xml:space="preserve">De </w:t>
            </w:r>
            <w:r w:rsidRPr="00F3663D">
              <w:rPr>
                <w:u w:val="single"/>
              </w:rPr>
              <w:t>algemene vergadering moet bepalen wanneer</w:t>
            </w:r>
            <w:r w:rsidRPr="006B4811">
              <w:t xml:space="preserve"> aan hen een </w:t>
            </w:r>
            <w:r w:rsidRPr="00F3663D">
              <w:rPr>
                <w:u w:val="single"/>
              </w:rPr>
              <w:t>opvolgingsrapportering</w:t>
            </w:r>
            <w:r w:rsidRPr="006B4811">
              <w:t xml:space="preserve"> met een stand van zaken van de uitvoering van het meerjarenplan </w:t>
            </w:r>
            <w:r w:rsidRPr="00F3663D">
              <w:rPr>
                <w:u w:val="single"/>
              </w:rPr>
              <w:t>wordt voorgelegd</w:t>
            </w:r>
            <w:r w:rsidRPr="006B4811">
              <w:t xml:space="preserve">. Dat moet minstens voor het einde van het derde kwartaal over het eerste semester. </w:t>
            </w:r>
          </w:p>
          <w:p w14:paraId="59F16B76" w14:textId="1DB47F50" w:rsidR="008A2C77" w:rsidRDefault="008A2C77" w:rsidP="00D92833"/>
          <w:p w14:paraId="3084D3B0" w14:textId="38DA3BD0" w:rsidR="008A2C77" w:rsidRPr="006E241E" w:rsidRDefault="008A2C77" w:rsidP="00D92833">
            <w:pPr>
              <w:rPr>
                <w:sz w:val="16"/>
                <w:szCs w:val="16"/>
              </w:rPr>
            </w:pPr>
            <w:r w:rsidRPr="006E241E">
              <w:rPr>
                <w:sz w:val="16"/>
                <w:szCs w:val="16"/>
              </w:rPr>
              <w:t>(art. 489, §2 DLB)</w:t>
            </w:r>
          </w:p>
          <w:p w14:paraId="5B43C027" w14:textId="77777777" w:rsidR="00933048" w:rsidRPr="00BF3801" w:rsidRDefault="00933048" w:rsidP="00D92833"/>
        </w:tc>
      </w:tr>
    </w:tbl>
    <w:p w14:paraId="2876F763" w14:textId="77777777" w:rsidR="002C4B82" w:rsidRPr="00D2309B" w:rsidRDefault="002C4B82" w:rsidP="002C4B82"/>
    <w:p w14:paraId="76FD4F01" w14:textId="77777777" w:rsidR="002C4B82" w:rsidRDefault="002C4B82" w:rsidP="00444441">
      <w:pPr>
        <w:pStyle w:val="Kop3"/>
      </w:pPr>
      <w:r>
        <w:t>Personeel:</w:t>
      </w:r>
    </w:p>
    <w:p w14:paraId="6ECCC27C" w14:textId="77777777" w:rsidR="002C4B82" w:rsidRDefault="006B5A4C" w:rsidP="002C4B82">
      <w:r>
        <w:rPr>
          <w:b/>
        </w:rPr>
        <w:t>Meer info:</w:t>
      </w:r>
      <w:r w:rsidR="00A60DC1">
        <w:t xml:space="preserve"> </w:t>
      </w:r>
      <w:hyperlink r:id="rId22" w:history="1">
        <w:r w:rsidR="00A60DC1" w:rsidRPr="00155E42">
          <w:rPr>
            <w:rStyle w:val="Hyperlink"/>
          </w:rPr>
          <w:t>emme.vandeginste@vvsg.be</w:t>
        </w:r>
      </w:hyperlink>
    </w:p>
    <w:p w14:paraId="404E0941" w14:textId="77777777" w:rsidR="006B5A4C" w:rsidRDefault="006B5A4C" w:rsidP="002C4B8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6804"/>
      </w:tblGrid>
      <w:tr w:rsidR="006B5A4C" w:rsidRPr="006B5A4C" w14:paraId="1E00BC0D" w14:textId="77777777" w:rsidTr="00C150E9">
        <w:tc>
          <w:tcPr>
            <w:tcW w:w="1531" w:type="dxa"/>
            <w:tcBorders>
              <w:top w:val="single" w:sz="4" w:space="0" w:color="000000"/>
              <w:left w:val="single" w:sz="4" w:space="0" w:color="000000"/>
              <w:bottom w:val="single" w:sz="4" w:space="0" w:color="000000"/>
              <w:right w:val="single" w:sz="4" w:space="0" w:color="000000"/>
            </w:tcBorders>
            <w:vAlign w:val="center"/>
          </w:tcPr>
          <w:p w14:paraId="0CC5E659" w14:textId="77777777" w:rsidR="006B5A4C" w:rsidRPr="006B5A4C" w:rsidRDefault="00041BEF" w:rsidP="00444441">
            <w:pPr>
              <w:jc w:val="center"/>
              <w:rPr>
                <w:lang w:val="nl-NL"/>
              </w:rPr>
            </w:pPr>
            <w:r>
              <w:rPr>
                <w:noProof/>
                <w:lang w:eastAsia="nl-BE"/>
              </w:rPr>
              <w:drawing>
                <wp:inline distT="0" distB="0" distL="0" distR="0" wp14:anchorId="257DDD1D" wp14:editId="6898765A">
                  <wp:extent cx="720000" cy="720000"/>
                  <wp:effectExtent l="0" t="0" r="4445" b="4445"/>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vAlign w:val="center"/>
          </w:tcPr>
          <w:p w14:paraId="1F228EBE" w14:textId="77777777" w:rsidR="006B5A4C" w:rsidRDefault="006B5A4C" w:rsidP="00444441">
            <w:pPr>
              <w:jc w:val="both"/>
            </w:pPr>
            <w:r w:rsidRPr="006B5A4C">
              <w:t xml:space="preserve">De </w:t>
            </w:r>
            <w:r w:rsidRPr="00444441">
              <w:rPr>
                <w:u w:val="single"/>
              </w:rPr>
              <w:t>personeelsleden van een welzijnsvereniging</w:t>
            </w:r>
            <w:r w:rsidRPr="00444441">
              <w:rPr>
                <w:b/>
                <w:u w:val="single"/>
              </w:rPr>
              <w:t xml:space="preserve"> </w:t>
            </w:r>
            <w:r w:rsidRPr="00444441">
              <w:rPr>
                <w:u w:val="single"/>
              </w:rPr>
              <w:t>kunnen door een OCMW</w:t>
            </w:r>
            <w:r w:rsidRPr="006B5A4C">
              <w:t xml:space="preserve"> dat deelgenoot is van de welzijnsvereniging </w:t>
            </w:r>
            <w:r w:rsidRPr="00444441">
              <w:rPr>
                <w:u w:val="single"/>
              </w:rPr>
              <w:t>overgenomen worden</w:t>
            </w:r>
            <w:r w:rsidRPr="006B5A4C">
              <w:t>.</w:t>
            </w:r>
          </w:p>
          <w:p w14:paraId="0BCAE186" w14:textId="77777777" w:rsidR="00341BFF" w:rsidRDefault="00341BFF" w:rsidP="00444441">
            <w:pPr>
              <w:jc w:val="both"/>
            </w:pPr>
          </w:p>
          <w:p w14:paraId="013A84A3" w14:textId="77777777" w:rsidR="00341BFF" w:rsidRPr="00444441" w:rsidRDefault="00341BFF" w:rsidP="00444441">
            <w:pPr>
              <w:jc w:val="both"/>
              <w:rPr>
                <w:sz w:val="16"/>
                <w:szCs w:val="16"/>
              </w:rPr>
            </w:pPr>
            <w:r>
              <w:rPr>
                <w:sz w:val="16"/>
                <w:szCs w:val="16"/>
              </w:rPr>
              <w:t>(art.</w:t>
            </w:r>
            <w:r w:rsidR="00C97236">
              <w:rPr>
                <w:sz w:val="16"/>
                <w:szCs w:val="16"/>
              </w:rPr>
              <w:t xml:space="preserve"> 488, §3 DLB</w:t>
            </w:r>
            <w:r>
              <w:rPr>
                <w:sz w:val="16"/>
                <w:szCs w:val="16"/>
              </w:rPr>
              <w:t>)</w:t>
            </w:r>
          </w:p>
          <w:p w14:paraId="3CFF021C" w14:textId="77777777" w:rsidR="006B5A4C" w:rsidRPr="006B5A4C" w:rsidRDefault="006B5A4C" w:rsidP="00444441">
            <w:pPr>
              <w:jc w:val="both"/>
              <w:rPr>
                <w:lang w:val="nl-NL"/>
              </w:rPr>
            </w:pPr>
          </w:p>
        </w:tc>
      </w:tr>
      <w:tr w:rsidR="006B5A4C" w:rsidRPr="006B5A4C" w14:paraId="51ADF6D5" w14:textId="77777777" w:rsidTr="00C150E9">
        <w:tc>
          <w:tcPr>
            <w:tcW w:w="1531" w:type="dxa"/>
            <w:tcBorders>
              <w:top w:val="single" w:sz="4" w:space="0" w:color="000000"/>
              <w:left w:val="single" w:sz="4" w:space="0" w:color="000000"/>
              <w:bottom w:val="single" w:sz="4" w:space="0" w:color="000000"/>
              <w:right w:val="single" w:sz="4" w:space="0" w:color="000000"/>
            </w:tcBorders>
            <w:vAlign w:val="center"/>
          </w:tcPr>
          <w:p w14:paraId="1D3AEF6E" w14:textId="77777777" w:rsidR="006B5A4C" w:rsidRPr="006B5A4C" w:rsidRDefault="00041BEF" w:rsidP="00444441">
            <w:pPr>
              <w:jc w:val="center"/>
              <w:rPr>
                <w:lang w:val="nl-NL"/>
              </w:rPr>
            </w:pPr>
            <w:r>
              <w:rPr>
                <w:noProof/>
                <w:lang w:eastAsia="nl-BE"/>
              </w:rPr>
              <w:drawing>
                <wp:inline distT="0" distB="0" distL="0" distR="0" wp14:anchorId="3C014C36" wp14:editId="18D59494">
                  <wp:extent cx="720000" cy="720000"/>
                  <wp:effectExtent l="0" t="0" r="4445" b="444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vAlign w:val="center"/>
          </w:tcPr>
          <w:p w14:paraId="790004FB" w14:textId="77777777" w:rsidR="00563453" w:rsidRPr="00563453" w:rsidRDefault="006B5A4C" w:rsidP="00563453">
            <w:pPr>
              <w:jc w:val="both"/>
            </w:pPr>
            <w:r w:rsidRPr="006B5A4C">
              <w:t xml:space="preserve">Als dat nader bepaald is in de rechtspositieregeling van het personeel van een welzijnsvereniging kunnen </w:t>
            </w:r>
            <w:r w:rsidRPr="00444441">
              <w:rPr>
                <w:u w:val="single"/>
              </w:rPr>
              <w:t xml:space="preserve">statutairen ter beschikking gesteld worden van </w:t>
            </w:r>
            <w:r w:rsidR="00563453" w:rsidRPr="00563453">
              <w:rPr>
                <w:u w:val="single"/>
              </w:rPr>
              <w:t xml:space="preserve">een andere welzijnsvereniging (of autonome verzorgingsinstelling). </w:t>
            </w:r>
          </w:p>
          <w:p w14:paraId="10CC0FF7" w14:textId="77777777" w:rsidR="00341BFF" w:rsidRDefault="00341BFF" w:rsidP="00444441">
            <w:pPr>
              <w:jc w:val="both"/>
            </w:pPr>
          </w:p>
          <w:p w14:paraId="7F8D3717" w14:textId="77777777" w:rsidR="00341BFF" w:rsidRPr="00444441" w:rsidRDefault="00341BFF" w:rsidP="00444441">
            <w:pPr>
              <w:jc w:val="both"/>
              <w:rPr>
                <w:sz w:val="16"/>
                <w:szCs w:val="16"/>
              </w:rPr>
            </w:pPr>
            <w:r>
              <w:rPr>
                <w:sz w:val="16"/>
                <w:szCs w:val="16"/>
              </w:rPr>
              <w:t>(art.</w:t>
            </w:r>
            <w:r w:rsidR="00C97236">
              <w:rPr>
                <w:sz w:val="16"/>
                <w:szCs w:val="16"/>
              </w:rPr>
              <w:t xml:space="preserve"> 488, §4 DLB</w:t>
            </w:r>
            <w:r>
              <w:rPr>
                <w:sz w:val="16"/>
                <w:szCs w:val="16"/>
              </w:rPr>
              <w:t>)</w:t>
            </w:r>
          </w:p>
          <w:p w14:paraId="67876EAE" w14:textId="77777777" w:rsidR="006B5A4C" w:rsidRPr="006B5A4C" w:rsidRDefault="006B5A4C" w:rsidP="00444441">
            <w:pPr>
              <w:jc w:val="both"/>
              <w:rPr>
                <w:lang w:val="nl-NL"/>
              </w:rPr>
            </w:pPr>
          </w:p>
        </w:tc>
      </w:tr>
      <w:tr w:rsidR="006B5A4C" w:rsidRPr="006B5A4C" w14:paraId="2D72CD2A" w14:textId="77777777" w:rsidTr="00C150E9">
        <w:tc>
          <w:tcPr>
            <w:tcW w:w="1531" w:type="dxa"/>
            <w:tcBorders>
              <w:top w:val="single" w:sz="4" w:space="0" w:color="000000"/>
              <w:left w:val="single" w:sz="4" w:space="0" w:color="000000"/>
              <w:bottom w:val="single" w:sz="4" w:space="0" w:color="000000"/>
              <w:right w:val="single" w:sz="4" w:space="0" w:color="000000"/>
            </w:tcBorders>
            <w:vAlign w:val="center"/>
          </w:tcPr>
          <w:p w14:paraId="19E31941" w14:textId="77777777" w:rsidR="006B5A4C" w:rsidRPr="006B5A4C" w:rsidRDefault="00041BEF" w:rsidP="00444441">
            <w:pPr>
              <w:jc w:val="center"/>
              <w:rPr>
                <w:lang w:val="nl-NL"/>
              </w:rPr>
            </w:pPr>
            <w:r>
              <w:rPr>
                <w:noProof/>
                <w:lang w:eastAsia="nl-BE"/>
              </w:rPr>
              <w:drawing>
                <wp:inline distT="0" distB="0" distL="0" distR="0" wp14:anchorId="54B1A6E4" wp14:editId="3E5C4A5A">
                  <wp:extent cx="720000" cy="720000"/>
                  <wp:effectExtent l="0" t="0" r="4445" b="4445"/>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0000" cy="720000"/>
                          </a:xfrm>
                          <a:prstGeom prst="rect">
                            <a:avLst/>
                          </a:prstGeom>
                        </pic:spPr>
                      </pic:pic>
                    </a:graphicData>
                  </a:graphic>
                </wp:inline>
              </w:drawing>
            </w:r>
          </w:p>
        </w:tc>
        <w:tc>
          <w:tcPr>
            <w:tcW w:w="6804" w:type="dxa"/>
            <w:tcBorders>
              <w:top w:val="single" w:sz="4" w:space="0" w:color="000000"/>
              <w:left w:val="single" w:sz="4" w:space="0" w:color="000000"/>
              <w:bottom w:val="single" w:sz="4" w:space="0" w:color="000000"/>
              <w:right w:val="single" w:sz="4" w:space="0" w:color="000000"/>
            </w:tcBorders>
            <w:vAlign w:val="center"/>
          </w:tcPr>
          <w:p w14:paraId="384C9E37" w14:textId="77777777" w:rsidR="006B5A4C" w:rsidRDefault="006B5A4C" w:rsidP="00444441">
            <w:pPr>
              <w:jc w:val="both"/>
            </w:pPr>
            <w:r w:rsidRPr="006B5A4C">
              <w:t xml:space="preserve">Bij </w:t>
            </w:r>
            <w:r w:rsidRPr="00444441">
              <w:rPr>
                <w:u w:val="single"/>
              </w:rPr>
              <w:t>ontbinding</w:t>
            </w:r>
            <w:r w:rsidRPr="006B5A4C">
              <w:t xml:space="preserve"> van de welzijnsvereniging wordt het </w:t>
            </w:r>
            <w:r w:rsidRPr="00444441">
              <w:rPr>
                <w:u w:val="single"/>
              </w:rPr>
              <w:t>voltallige personeel overgenomen</w:t>
            </w:r>
            <w:r w:rsidRPr="006B5A4C">
              <w:t xml:space="preserve"> door ofwel de deelgenoten, ofwel door de instantie die de activiteit overneemt, in verhouding tot de inbreng of overeenkomstig de onderling bereikte akkoorden, en zonder dat de personeelsleden door deze </w:t>
            </w:r>
            <w:r w:rsidRPr="006B5A4C">
              <w:lastRenderedPageBreak/>
              <w:t>plicht tot overname gebonden zijn.  De statutairen worden door de publieke rechtspersonen overgenomen.</w:t>
            </w:r>
          </w:p>
          <w:p w14:paraId="6E5E8862" w14:textId="77777777" w:rsidR="00341BFF" w:rsidRDefault="00341BFF" w:rsidP="00444441">
            <w:pPr>
              <w:jc w:val="both"/>
            </w:pPr>
          </w:p>
          <w:p w14:paraId="3BA300BA" w14:textId="77777777" w:rsidR="00341BFF" w:rsidRPr="00EE42AA" w:rsidRDefault="00341BFF" w:rsidP="00444441">
            <w:pPr>
              <w:jc w:val="both"/>
              <w:rPr>
                <w:sz w:val="16"/>
                <w:szCs w:val="16"/>
              </w:rPr>
            </w:pPr>
            <w:r>
              <w:rPr>
                <w:sz w:val="16"/>
                <w:szCs w:val="16"/>
              </w:rPr>
              <w:t>(art.</w:t>
            </w:r>
            <w:r w:rsidR="00041BEF">
              <w:rPr>
                <w:sz w:val="16"/>
                <w:szCs w:val="16"/>
              </w:rPr>
              <w:t xml:space="preserve"> 495 DLB</w:t>
            </w:r>
            <w:r>
              <w:rPr>
                <w:sz w:val="16"/>
                <w:szCs w:val="16"/>
              </w:rPr>
              <w:t xml:space="preserve"> )</w:t>
            </w:r>
          </w:p>
          <w:p w14:paraId="775FB369" w14:textId="77777777" w:rsidR="006B5A4C" w:rsidRPr="006B5A4C" w:rsidRDefault="006B5A4C" w:rsidP="00444441">
            <w:pPr>
              <w:jc w:val="both"/>
              <w:rPr>
                <w:lang w:val="nl-NL"/>
              </w:rPr>
            </w:pPr>
          </w:p>
        </w:tc>
      </w:tr>
    </w:tbl>
    <w:p w14:paraId="28358E37" w14:textId="77777777" w:rsidR="00D2309B" w:rsidRPr="00D2309B" w:rsidRDefault="00D2309B" w:rsidP="00D2309B"/>
    <w:p w14:paraId="299D922C" w14:textId="77777777" w:rsidR="00D2309B" w:rsidRDefault="00D2309B" w:rsidP="00D2309B"/>
    <w:p w14:paraId="1CFD72AF" w14:textId="77777777" w:rsidR="00D2309B" w:rsidRDefault="00D2309B" w:rsidP="00D2309B"/>
    <w:p w14:paraId="42256F1A" w14:textId="77777777" w:rsidR="00D2309B" w:rsidRPr="00D2309B" w:rsidRDefault="00D2309B" w:rsidP="00D2309B"/>
    <w:sectPr w:rsidR="00D2309B" w:rsidRPr="00D2309B" w:rsidSect="00FB6255">
      <w:headerReference w:type="even" r:id="rId23"/>
      <w:headerReference w:type="default" r:id="rId24"/>
      <w:footerReference w:type="even" r:id="rId25"/>
      <w:footerReference w:type="default" r:id="rId26"/>
      <w:headerReference w:type="first" r:id="rId27"/>
      <w:footerReference w:type="first" r:id="rId28"/>
      <w:pgSz w:w="11906" w:h="16838"/>
      <w:pgMar w:top="2694" w:right="1985" w:bottom="1418" w:left="1531"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5AAD" w14:textId="77777777" w:rsidR="00CF7DEC" w:rsidRDefault="00CF7DEC" w:rsidP="003D1334">
      <w:r>
        <w:separator/>
      </w:r>
    </w:p>
  </w:endnote>
  <w:endnote w:type="continuationSeparator" w:id="0">
    <w:p w14:paraId="2FAC112B" w14:textId="77777777" w:rsidR="00CF7DEC" w:rsidRDefault="00CF7DEC"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8970F" w14:textId="4752BC5F" w:rsidR="00A52D22" w:rsidRDefault="00A52D22" w:rsidP="00821EAE">
    <w:r>
      <w:fldChar w:fldCharType="begin"/>
    </w:r>
    <w:r>
      <w:instrText xml:space="preserve"> CREATEDATE \@ "d MMMM yyyy" \* MERGEFORMAT </w:instrText>
    </w:r>
    <w:r>
      <w:fldChar w:fldCharType="separate"/>
    </w:r>
    <w:r w:rsidR="00EC658A">
      <w:rPr>
        <w:noProof/>
      </w:rPr>
      <w:t>2</w:t>
    </w:r>
    <w:r w:rsidR="00AF323A">
      <w:rPr>
        <w:noProof/>
      </w:rPr>
      <w:t>8</w:t>
    </w:r>
    <w:r w:rsidR="00EC658A">
      <w:rPr>
        <w:noProof/>
      </w:rPr>
      <w:t xml:space="preserve"> juni 2018</w:t>
    </w:r>
    <w:r>
      <w:rPr>
        <w:noProof/>
      </w:rPr>
      <w:fldChar w:fldCharType="end"/>
    </w:r>
    <w:r>
      <w:t xml:space="preserve"> - </w:t>
    </w:r>
    <w:r>
      <w:fldChar w:fldCharType="begin"/>
    </w:r>
    <w:r>
      <w:instrText xml:space="preserve"> PAGE \* Arabic \* MERGEFORMAT </w:instrText>
    </w:r>
    <w:r>
      <w:fldChar w:fldCharType="separate"/>
    </w:r>
    <w:r w:rsidR="00F3663D">
      <w:rPr>
        <w:noProof/>
      </w:rPr>
      <w:t>10</w:t>
    </w:r>
    <w:r>
      <w:rPr>
        <w:noProof/>
      </w:rPr>
      <w:fldChar w:fldCharType="end"/>
    </w:r>
    <w:r>
      <w:t>/</w:t>
    </w:r>
    <w:r w:rsidR="00473446">
      <w:rPr>
        <w:noProof/>
      </w:rPr>
      <w:fldChar w:fldCharType="begin"/>
    </w:r>
    <w:r w:rsidR="00473446">
      <w:rPr>
        <w:noProof/>
      </w:rPr>
      <w:instrText xml:space="preserve"> NUMPAGES \* Arabic \* MERGEFORMAT </w:instrText>
    </w:r>
    <w:r w:rsidR="00473446">
      <w:rPr>
        <w:noProof/>
      </w:rPr>
      <w:fldChar w:fldCharType="separate"/>
    </w:r>
    <w:r w:rsidR="00F3663D">
      <w:rPr>
        <w:noProof/>
      </w:rPr>
      <w:t>13</w:t>
    </w:r>
    <w:r w:rsidR="00473446">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D6FA4" w14:textId="70CCBD26" w:rsidR="00A52D22" w:rsidRDefault="00A52D22" w:rsidP="00821EAE">
    <w:r>
      <w:fldChar w:fldCharType="begin"/>
    </w:r>
    <w:r>
      <w:instrText xml:space="preserve"> CREATEDATE \@ "d MMMM yyyy" \* MERGEFORMAT </w:instrText>
    </w:r>
    <w:r>
      <w:fldChar w:fldCharType="separate"/>
    </w:r>
    <w:r w:rsidR="00EC658A">
      <w:rPr>
        <w:noProof/>
      </w:rPr>
      <w:t>2</w:t>
    </w:r>
    <w:r w:rsidR="00AF323A">
      <w:rPr>
        <w:noProof/>
      </w:rPr>
      <w:t>8</w:t>
    </w:r>
    <w:r w:rsidR="00EC658A">
      <w:rPr>
        <w:noProof/>
      </w:rPr>
      <w:t xml:space="preserve"> juni 2018</w:t>
    </w:r>
    <w:r>
      <w:rPr>
        <w:noProof/>
      </w:rPr>
      <w:fldChar w:fldCharType="end"/>
    </w:r>
    <w:r>
      <w:t xml:space="preserve"> - </w:t>
    </w:r>
    <w:r>
      <w:fldChar w:fldCharType="begin"/>
    </w:r>
    <w:r>
      <w:instrText xml:space="preserve"> PAGE \* Arabic \* MERGEFORMAT </w:instrText>
    </w:r>
    <w:r>
      <w:fldChar w:fldCharType="separate"/>
    </w:r>
    <w:r w:rsidR="00F3663D">
      <w:rPr>
        <w:noProof/>
      </w:rPr>
      <w:t>11</w:t>
    </w:r>
    <w:r>
      <w:rPr>
        <w:noProof/>
      </w:rPr>
      <w:fldChar w:fldCharType="end"/>
    </w:r>
    <w:r>
      <w:t>/</w:t>
    </w:r>
    <w:r w:rsidR="00473446">
      <w:rPr>
        <w:noProof/>
      </w:rPr>
      <w:fldChar w:fldCharType="begin"/>
    </w:r>
    <w:r w:rsidR="00473446">
      <w:rPr>
        <w:noProof/>
      </w:rPr>
      <w:instrText xml:space="preserve"> NUMPAGES \* Arabic \* MERGEFORMAT </w:instrText>
    </w:r>
    <w:r w:rsidR="00473446">
      <w:rPr>
        <w:noProof/>
      </w:rPr>
      <w:fldChar w:fldCharType="separate"/>
    </w:r>
    <w:r w:rsidR="00F3663D">
      <w:rPr>
        <w:noProof/>
      </w:rPr>
      <w:t>13</w:t>
    </w:r>
    <w:r w:rsidR="00473446">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8E72" w14:textId="6F3967AF" w:rsidR="00A52D22" w:rsidRDefault="00215220" w:rsidP="00FB6255">
    <w:r>
      <w:t xml:space="preserve"> </w:t>
    </w:r>
    <w:r w:rsidR="00AF323A">
      <w:t xml:space="preserve">28 juni </w:t>
    </w:r>
    <w:r>
      <w:t>2018</w:t>
    </w:r>
    <w:r w:rsidR="00A52D22">
      <w:t xml:space="preserve">- </w:t>
    </w:r>
    <w:r w:rsidR="00A52D22">
      <w:fldChar w:fldCharType="begin"/>
    </w:r>
    <w:r w:rsidR="00A52D22">
      <w:instrText xml:space="preserve"> PAGE \* Arabic \* MERGEFORMAT </w:instrText>
    </w:r>
    <w:r w:rsidR="00A52D22">
      <w:fldChar w:fldCharType="separate"/>
    </w:r>
    <w:r w:rsidR="00AF5A53">
      <w:rPr>
        <w:noProof/>
      </w:rPr>
      <w:t>1</w:t>
    </w:r>
    <w:r w:rsidR="00A52D22">
      <w:rPr>
        <w:noProof/>
      </w:rPr>
      <w:fldChar w:fldCharType="end"/>
    </w:r>
    <w:r w:rsidR="00A52D22">
      <w:t>/</w:t>
    </w:r>
    <w:r w:rsidR="00473446">
      <w:rPr>
        <w:noProof/>
      </w:rPr>
      <w:fldChar w:fldCharType="begin"/>
    </w:r>
    <w:r w:rsidR="00473446">
      <w:rPr>
        <w:noProof/>
      </w:rPr>
      <w:instrText xml:space="preserve"> NUMPAGES \* Arabic \* MERGEFORMAT </w:instrText>
    </w:r>
    <w:r w:rsidR="00473446">
      <w:rPr>
        <w:noProof/>
      </w:rPr>
      <w:fldChar w:fldCharType="separate"/>
    </w:r>
    <w:r w:rsidR="00AF5A53">
      <w:rPr>
        <w:noProof/>
      </w:rPr>
      <w:t>13</w:t>
    </w:r>
    <w:r w:rsidR="00473446">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B047" w14:textId="77777777" w:rsidR="00CF7DEC" w:rsidRDefault="00CF7DEC" w:rsidP="003D1334">
      <w:r>
        <w:separator/>
      </w:r>
    </w:p>
  </w:footnote>
  <w:footnote w:type="continuationSeparator" w:id="0">
    <w:p w14:paraId="7C9E67D6" w14:textId="77777777" w:rsidR="00CF7DEC" w:rsidRDefault="00CF7DEC" w:rsidP="003D1334">
      <w:r>
        <w:continuationSeparator/>
      </w:r>
    </w:p>
  </w:footnote>
  <w:footnote w:id="1">
    <w:p w14:paraId="2F56A367" w14:textId="77777777" w:rsidR="00A52D22" w:rsidRDefault="00A52D22">
      <w:pPr>
        <w:pStyle w:val="Voetnoottekst"/>
      </w:pPr>
      <w:r>
        <w:rPr>
          <w:rStyle w:val="Voetnootmarkering"/>
        </w:rPr>
        <w:footnoteRef/>
      </w:r>
      <w:r>
        <w:t xml:space="preserve"> Zie daarvoor “</w:t>
      </w:r>
      <w:r w:rsidRPr="00270612">
        <w:rPr>
          <w:i/>
        </w:rPr>
        <w:t>Deel 3 Deelname in rechtspersonen en samenwerking, Titel 4 Verenigingen en vennootschappen voor maatschappelijk welzijn</w:t>
      </w:r>
      <w:r>
        <w:rPr>
          <w:i/>
        </w:rPr>
        <w:t>”</w:t>
      </w:r>
      <w:r w:rsidRPr="00270612">
        <w:rPr>
          <w:i/>
        </w:rPr>
        <w:t>.</w:t>
      </w:r>
    </w:p>
  </w:footnote>
  <w:footnote w:id="2">
    <w:p w14:paraId="29C7734C" w14:textId="77777777" w:rsidR="00A52D22" w:rsidRDefault="00A52D22">
      <w:pPr>
        <w:pStyle w:val="Voetnoottekst"/>
      </w:pPr>
      <w:r>
        <w:rPr>
          <w:rStyle w:val="Voetnootmarkering"/>
        </w:rPr>
        <w:footnoteRef/>
      </w:r>
      <w:r>
        <w:t xml:space="preserve"> </w:t>
      </w:r>
      <w:r w:rsidRPr="002D0DA7">
        <w:t>Titel VIII, hoofdstuk I</w:t>
      </w:r>
      <w:r>
        <w:t xml:space="preserve"> in het OCMW-decreet</w:t>
      </w:r>
    </w:p>
  </w:footnote>
  <w:footnote w:id="3">
    <w:p w14:paraId="639EEC05" w14:textId="77777777" w:rsidR="00A52D22" w:rsidRDefault="00A52D22">
      <w:pPr>
        <w:pStyle w:val="Voetnoottekst"/>
      </w:pPr>
      <w:r>
        <w:rPr>
          <w:rStyle w:val="Voetnootmarkering"/>
        </w:rPr>
        <w:footnoteRef/>
      </w:r>
      <w:r>
        <w:t xml:space="preserve"> </w:t>
      </w:r>
      <w:r w:rsidRPr="00014A14">
        <w:t>http://www.vvsg.be/Werking_Organisatie/samenwerking/Pages/OCMW--verzelfstandiging-en-samenwerking.aspx</w:t>
      </w:r>
    </w:p>
  </w:footnote>
  <w:footnote w:id="4">
    <w:p w14:paraId="62D16B9C" w14:textId="77777777" w:rsidR="00512166" w:rsidRDefault="00512166" w:rsidP="00444441">
      <w:r>
        <w:rPr>
          <w:rStyle w:val="Voetnootmarkering"/>
        </w:rPr>
        <w:footnoteRef/>
      </w:r>
      <w:r>
        <w:t xml:space="preserve"> Mogelijk wordt deze checklist nog uitgebreid in een latere fase.</w:t>
      </w:r>
    </w:p>
  </w:footnote>
  <w:footnote w:id="5">
    <w:p w14:paraId="171A19D0" w14:textId="77777777" w:rsidR="00B33F3F" w:rsidRDefault="00B33F3F" w:rsidP="00B33F3F">
      <w:pPr>
        <w:rPr>
          <w:lang w:val="nl-NL"/>
        </w:rPr>
      </w:pPr>
      <w:r>
        <w:rPr>
          <w:rStyle w:val="Voetnootmarkering"/>
        </w:rPr>
        <w:footnoteRef/>
      </w:r>
      <w:r>
        <w:t xml:space="preserve"> </w:t>
      </w:r>
      <w:r>
        <w:rPr>
          <w:lang w:val="nl-NL"/>
        </w:rPr>
        <w:t xml:space="preserve"> Opmerking voor de verenigingen waar een of meer </w:t>
      </w:r>
      <w:proofErr w:type="spellStart"/>
      <w:r>
        <w:rPr>
          <w:lang w:val="nl-NL"/>
        </w:rPr>
        <w:t>OCMW’s</w:t>
      </w:r>
      <w:proofErr w:type="spellEnd"/>
      <w:r>
        <w:rPr>
          <w:lang w:val="nl-NL"/>
        </w:rPr>
        <w:t xml:space="preserve"> van de zes randgemeenten of Voeren lid zijn: I</w:t>
      </w:r>
      <w:r w:rsidRPr="00024AAC">
        <w:rPr>
          <w:lang w:val="nl-NL"/>
        </w:rPr>
        <w:t xml:space="preserve">n het kader van het goedkeuringstoezicht op de welzijnsverenigingen en de autonome verzorgingsinstellingen, </w:t>
      </w:r>
      <w:r>
        <w:rPr>
          <w:lang w:val="nl-NL"/>
        </w:rPr>
        <w:t xml:space="preserve">moet </w:t>
      </w:r>
      <w:r w:rsidRPr="00024AAC">
        <w:rPr>
          <w:lang w:val="nl-NL"/>
        </w:rPr>
        <w:t xml:space="preserve">het desbetreffend besluit van de </w:t>
      </w:r>
      <w:r>
        <w:rPr>
          <w:lang w:val="nl-NL"/>
        </w:rPr>
        <w:t>OCMW-</w:t>
      </w:r>
      <w:r w:rsidRPr="00024AAC">
        <w:rPr>
          <w:lang w:val="nl-NL"/>
        </w:rPr>
        <w:t xml:space="preserve">raad </w:t>
      </w:r>
      <w:r>
        <w:rPr>
          <w:lang w:val="nl-NL"/>
        </w:rPr>
        <w:t xml:space="preserve">ook </w:t>
      </w:r>
      <w:r w:rsidRPr="00024AAC">
        <w:rPr>
          <w:lang w:val="nl-NL"/>
        </w:rPr>
        <w:t>goedgekeurd worden door de gemeenteraad.</w:t>
      </w:r>
      <w:r>
        <w:rPr>
          <w:lang w:val="nl-NL"/>
        </w:rPr>
        <w:t xml:space="preserve"> Wat dit betekent voor de goedkeuring van de substantiële beslissingen (statutenwijziging, verlenging door en ontbinding) van de vereniging, is onduidelijk. Wij menen dat deze behandeld kunnen worden zonder goedkeuring door de gemeenteraad. (art. 561-564)</w:t>
      </w:r>
    </w:p>
    <w:p w14:paraId="5F5D07BE" w14:textId="77777777" w:rsidR="00B33F3F" w:rsidRDefault="00B33F3F" w:rsidP="00B33F3F">
      <w:pPr>
        <w:pStyle w:val="Voetnootteks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35A4" w14:textId="77777777" w:rsidR="00A52D22" w:rsidRDefault="00CF7DEC">
    <w:pPr>
      <w:pStyle w:val="Koptekst"/>
    </w:pPr>
    <w:r>
      <w:rPr>
        <w:noProof/>
      </w:rPr>
      <w:pict w14:anchorId="3EAEA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483313" o:spid="_x0000_s2050" type="#_x0000_t136" style="position:absolute;margin-left:0;margin-top:0;width:529.15pt;height:62.25pt;rotation:315;z-index:-251631616;mso-position-horizontal:center;mso-position-horizontal-relative:margin;mso-position-vertical:center;mso-position-vertical-relative:margin" o:allowincell="f" fillcolor="silver" stroked="f">
          <v:fill opacity=".5"/>
          <v:textpath style="font-family:&quot;Arial&quot;;font-size:1pt" string="Voorlopig documen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0F56" w14:textId="77777777" w:rsidR="00A52D22" w:rsidRDefault="00CF7DEC" w:rsidP="003D1334">
    <w:pPr>
      <w:pStyle w:val="Koptekst"/>
    </w:pPr>
    <w:r>
      <w:rPr>
        <w:noProof/>
      </w:rPr>
      <w:pict w14:anchorId="4C7FC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483314" o:spid="_x0000_s2051" type="#_x0000_t136" style="position:absolute;margin-left:0;margin-top:0;width:529.15pt;height:62.25pt;rotation:315;z-index:-251629568;mso-position-horizontal:center;mso-position-horizontal-relative:margin;mso-position-vertical:center;mso-position-vertical-relative:margin" o:allowincell="f" fillcolor="silver" stroked="f">
          <v:fill opacity=".5"/>
          <v:textpath style="font-family:&quot;Arial&quot;;font-size:1pt" string="Voorlopig document"/>
          <w10:wrap anchorx="margin" anchory="margin"/>
        </v:shape>
      </w:pict>
    </w:r>
    <w:r w:rsidR="00A52D22">
      <w:rPr>
        <w:noProof/>
        <w:sz w:val="14"/>
        <w:szCs w:val="14"/>
        <w:lang w:eastAsia="nl-BE"/>
      </w:rPr>
      <w:drawing>
        <wp:anchor distT="0" distB="0" distL="114300" distR="114300" simplePos="0" relativeHeight="251671552" behindDoc="0" locked="0" layoutInCell="1" allowOverlap="1" wp14:anchorId="5C117D14" wp14:editId="25F85C7B">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608C" w14:textId="77777777" w:rsidR="00A52D22" w:rsidRDefault="00CF7DEC" w:rsidP="003D1334">
    <w:pPr>
      <w:pStyle w:val="Koptekst"/>
    </w:pPr>
    <w:r>
      <w:rPr>
        <w:noProof/>
      </w:rPr>
      <w:pict w14:anchorId="4400A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3483312" o:spid="_x0000_s2049" type="#_x0000_t136" style="position:absolute;margin-left:0;margin-top:0;width:529.15pt;height:62.25pt;rotation:315;z-index:-251633664;mso-position-horizontal:center;mso-position-horizontal-relative:margin;mso-position-vertical:center;mso-position-vertical-relative:margin" o:allowincell="f" fillcolor="silver" stroked="f">
          <v:fill opacity=".5"/>
          <v:textpath style="font-family:&quot;Arial&quot;;font-size:1pt" string="Voorlopig document"/>
          <w10:wrap anchorx="margin" anchory="margin"/>
        </v:shape>
      </w:pict>
    </w:r>
    <w:r w:rsidR="00A52D22">
      <w:rPr>
        <w:noProof/>
        <w:lang w:eastAsia="nl-BE"/>
      </w:rPr>
      <w:drawing>
        <wp:anchor distT="0" distB="0" distL="114300" distR="114300" simplePos="0" relativeHeight="251680768" behindDoc="0" locked="0" layoutInCell="1" allowOverlap="1" wp14:anchorId="6884FC96" wp14:editId="50DAE580">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sidR="00A52D22">
      <w:rPr>
        <w:noProof/>
        <w:lang w:eastAsia="nl-BE"/>
      </w:rPr>
      <w:drawing>
        <wp:anchor distT="0" distB="0" distL="114300" distR="114300" simplePos="0" relativeHeight="251665408" behindDoc="0" locked="0" layoutInCell="1" allowOverlap="1" wp14:anchorId="78A345A0" wp14:editId="2AB2FB12">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E96430"/>
    <w:multiLevelType w:val="hybridMultilevel"/>
    <w:tmpl w:val="191A6C98"/>
    <w:lvl w:ilvl="0" w:tplc="C3008538">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3"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4"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CD552D1"/>
    <w:multiLevelType w:val="hybridMultilevel"/>
    <w:tmpl w:val="2D6AAD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004625A"/>
    <w:multiLevelType w:val="hybridMultilevel"/>
    <w:tmpl w:val="D15AFEC4"/>
    <w:lvl w:ilvl="0" w:tplc="AE208270">
      <w:start w:val="1"/>
      <w:numFmt w:val="bullet"/>
      <w:lvlText w:val="-"/>
      <w:lvlJc w:val="left"/>
      <w:pPr>
        <w:ind w:left="720" w:hanging="360"/>
      </w:pPr>
      <w:rPr>
        <w:rFonts w:ascii="Verdana" w:eastAsiaTheme="minorHAnsi" w:hAnsi="Verdana" w:cstheme="minorBidi"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E8C6983"/>
    <w:multiLevelType w:val="hybridMultilevel"/>
    <w:tmpl w:val="2D6AAD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2"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18E14D6"/>
    <w:multiLevelType w:val="hybridMultilevel"/>
    <w:tmpl w:val="97645580"/>
    <w:lvl w:ilvl="0" w:tplc="D1AE7DDA">
      <w:numFmt w:val="bullet"/>
      <w:lvlText w:val="-"/>
      <w:lvlJc w:val="left"/>
      <w:pPr>
        <w:ind w:left="720" w:hanging="360"/>
      </w:pPr>
      <w:rPr>
        <w:rFonts w:ascii="Arial" w:eastAsia="Times New Roman" w:hAnsi="Arial" w:cs="Aria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DD8770D"/>
    <w:multiLevelType w:val="hybridMultilevel"/>
    <w:tmpl w:val="A694EAA0"/>
    <w:lvl w:ilvl="0" w:tplc="C20E3DE6">
      <w:start w:val="1"/>
      <w:numFmt w:val="bullet"/>
      <w:lvlText w:val="•"/>
      <w:lvlJc w:val="left"/>
      <w:pPr>
        <w:tabs>
          <w:tab w:val="num" w:pos="1069"/>
        </w:tabs>
        <w:ind w:left="1069" w:hanging="360"/>
      </w:pPr>
      <w:rPr>
        <w:rFonts w:ascii="Arial" w:hAnsi="Arial" w:cs="Times New Roman" w:hint="default"/>
      </w:rPr>
    </w:lvl>
    <w:lvl w:ilvl="1" w:tplc="00061F36">
      <w:numFmt w:val="none"/>
      <w:lvlText w:val=""/>
      <w:lvlJc w:val="left"/>
      <w:pPr>
        <w:tabs>
          <w:tab w:val="num" w:pos="360"/>
        </w:tabs>
      </w:pPr>
    </w:lvl>
    <w:lvl w:ilvl="2" w:tplc="DF7AE870">
      <w:start w:val="1"/>
      <w:numFmt w:val="bullet"/>
      <w:lvlText w:val="•"/>
      <w:lvlJc w:val="left"/>
      <w:pPr>
        <w:tabs>
          <w:tab w:val="num" w:pos="2509"/>
        </w:tabs>
        <w:ind w:left="2509" w:hanging="360"/>
      </w:pPr>
      <w:rPr>
        <w:rFonts w:ascii="Arial" w:hAnsi="Arial" w:cs="Times New Roman" w:hint="default"/>
      </w:rPr>
    </w:lvl>
    <w:lvl w:ilvl="3" w:tplc="90DE108C">
      <w:start w:val="1"/>
      <w:numFmt w:val="bullet"/>
      <w:lvlText w:val="•"/>
      <w:lvlJc w:val="left"/>
      <w:pPr>
        <w:tabs>
          <w:tab w:val="num" w:pos="3229"/>
        </w:tabs>
        <w:ind w:left="3229" w:hanging="360"/>
      </w:pPr>
      <w:rPr>
        <w:rFonts w:ascii="Arial" w:hAnsi="Arial" w:cs="Times New Roman" w:hint="default"/>
      </w:rPr>
    </w:lvl>
    <w:lvl w:ilvl="4" w:tplc="20106B8E">
      <w:start w:val="1"/>
      <w:numFmt w:val="bullet"/>
      <w:lvlText w:val="•"/>
      <w:lvlJc w:val="left"/>
      <w:pPr>
        <w:tabs>
          <w:tab w:val="num" w:pos="3949"/>
        </w:tabs>
        <w:ind w:left="3949" w:hanging="360"/>
      </w:pPr>
      <w:rPr>
        <w:rFonts w:ascii="Arial" w:hAnsi="Arial" w:cs="Times New Roman" w:hint="default"/>
      </w:rPr>
    </w:lvl>
    <w:lvl w:ilvl="5" w:tplc="9498F9C2">
      <w:start w:val="1"/>
      <w:numFmt w:val="bullet"/>
      <w:lvlText w:val="•"/>
      <w:lvlJc w:val="left"/>
      <w:pPr>
        <w:tabs>
          <w:tab w:val="num" w:pos="4669"/>
        </w:tabs>
        <w:ind w:left="4669" w:hanging="360"/>
      </w:pPr>
      <w:rPr>
        <w:rFonts w:ascii="Arial" w:hAnsi="Arial" w:cs="Times New Roman" w:hint="default"/>
      </w:rPr>
    </w:lvl>
    <w:lvl w:ilvl="6" w:tplc="1D267A52">
      <w:start w:val="1"/>
      <w:numFmt w:val="bullet"/>
      <w:lvlText w:val="•"/>
      <w:lvlJc w:val="left"/>
      <w:pPr>
        <w:tabs>
          <w:tab w:val="num" w:pos="5389"/>
        </w:tabs>
        <w:ind w:left="5389" w:hanging="360"/>
      </w:pPr>
      <w:rPr>
        <w:rFonts w:ascii="Arial" w:hAnsi="Arial" w:cs="Times New Roman" w:hint="default"/>
      </w:rPr>
    </w:lvl>
    <w:lvl w:ilvl="7" w:tplc="2C0E8580">
      <w:start w:val="1"/>
      <w:numFmt w:val="bullet"/>
      <w:lvlText w:val="•"/>
      <w:lvlJc w:val="left"/>
      <w:pPr>
        <w:tabs>
          <w:tab w:val="num" w:pos="6109"/>
        </w:tabs>
        <w:ind w:left="6109" w:hanging="360"/>
      </w:pPr>
      <w:rPr>
        <w:rFonts w:ascii="Arial" w:hAnsi="Arial" w:cs="Times New Roman" w:hint="default"/>
      </w:rPr>
    </w:lvl>
    <w:lvl w:ilvl="8" w:tplc="12BE5AC4">
      <w:start w:val="1"/>
      <w:numFmt w:val="bullet"/>
      <w:lvlText w:val="•"/>
      <w:lvlJc w:val="left"/>
      <w:pPr>
        <w:tabs>
          <w:tab w:val="num" w:pos="6829"/>
        </w:tabs>
        <w:ind w:left="6829" w:hanging="360"/>
      </w:pPr>
      <w:rPr>
        <w:rFonts w:ascii="Arial" w:hAnsi="Arial" w:cs="Times New Roman" w:hint="default"/>
      </w:rPr>
    </w:lvl>
  </w:abstractNum>
  <w:abstractNum w:abstractNumId="15"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6"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7" w15:restartNumberingAfterBreak="0">
    <w:nsid w:val="679B6C81"/>
    <w:multiLevelType w:val="hybridMultilevel"/>
    <w:tmpl w:val="BBDECA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0B40AD"/>
    <w:multiLevelType w:val="hybridMultilevel"/>
    <w:tmpl w:val="F8D6C8CA"/>
    <w:lvl w:ilvl="0" w:tplc="AE208270">
      <w:start w:val="1"/>
      <w:numFmt w:val="bullet"/>
      <w:lvlText w:val="-"/>
      <w:lvlJc w:val="left"/>
      <w:pPr>
        <w:ind w:left="720" w:hanging="360"/>
      </w:pPr>
      <w:rPr>
        <w:rFonts w:ascii="Verdana" w:eastAsiaTheme="minorHAnsi" w:hAnsi="Verdana" w:cstheme="minorBidi"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5A16F7"/>
    <w:multiLevelType w:val="hybridMultilevel"/>
    <w:tmpl w:val="146AA5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4"/>
  </w:num>
  <w:num w:numId="3">
    <w:abstractNumId w:val="21"/>
  </w:num>
  <w:num w:numId="4">
    <w:abstractNumId w:val="19"/>
  </w:num>
  <w:num w:numId="5">
    <w:abstractNumId w:val="18"/>
  </w:num>
  <w:num w:numId="6">
    <w:abstractNumId w:val="8"/>
  </w:num>
  <w:num w:numId="7">
    <w:abstractNumId w:val="12"/>
  </w:num>
  <w:num w:numId="8">
    <w:abstractNumId w:val="2"/>
  </w:num>
  <w:num w:numId="9">
    <w:abstractNumId w:val="12"/>
    <w:lvlOverride w:ilvl="0">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9"/>
  </w:num>
  <w:num w:numId="21">
    <w:abstractNumId w:val="5"/>
  </w:num>
  <w:num w:numId="22">
    <w:abstractNumId w:val="0"/>
  </w:num>
  <w:num w:numId="23">
    <w:abstractNumId w:val="0"/>
  </w:num>
  <w:num w:numId="24">
    <w:abstractNumId w:val="5"/>
  </w:num>
  <w:num w:numId="25">
    <w:abstractNumId w:val="11"/>
  </w:num>
  <w:num w:numId="26">
    <w:abstractNumId w:val="9"/>
  </w:num>
  <w:num w:numId="27">
    <w:abstractNumId w:val="16"/>
  </w:num>
  <w:num w:numId="28">
    <w:abstractNumId w:val="15"/>
  </w:num>
  <w:num w:numId="29">
    <w:abstractNumId w:val="15"/>
  </w:num>
  <w:num w:numId="30">
    <w:abstractNumId w:val="15"/>
  </w:num>
  <w:num w:numId="31">
    <w:abstractNumId w:val="15"/>
  </w:num>
  <w:num w:numId="32">
    <w:abstractNumId w:val="22"/>
  </w:num>
  <w:num w:numId="33">
    <w:abstractNumId w:val="20"/>
  </w:num>
  <w:num w:numId="34">
    <w:abstractNumId w:val="7"/>
  </w:num>
  <w:num w:numId="35">
    <w:abstractNumId w:val="1"/>
  </w:num>
  <w:num w:numId="36">
    <w:abstractNumId w:val="14"/>
  </w:num>
  <w:num w:numId="37">
    <w:abstractNumId w:val="13"/>
  </w:num>
  <w:num w:numId="38">
    <w:abstractNumId w:val="10"/>
  </w:num>
  <w:num w:numId="39">
    <w:abstractNumId w:val="6"/>
  </w:num>
  <w:num w:numId="4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9B"/>
    <w:rsid w:val="00004622"/>
    <w:rsid w:val="00013247"/>
    <w:rsid w:val="00014A14"/>
    <w:rsid w:val="00020F97"/>
    <w:rsid w:val="00021BD8"/>
    <w:rsid w:val="00027C2B"/>
    <w:rsid w:val="00032DA4"/>
    <w:rsid w:val="0003410D"/>
    <w:rsid w:val="00041BEF"/>
    <w:rsid w:val="0005355B"/>
    <w:rsid w:val="0005572A"/>
    <w:rsid w:val="00056391"/>
    <w:rsid w:val="00060A1B"/>
    <w:rsid w:val="00074570"/>
    <w:rsid w:val="00086BBC"/>
    <w:rsid w:val="000875CF"/>
    <w:rsid w:val="000908E3"/>
    <w:rsid w:val="000A0176"/>
    <w:rsid w:val="000A639E"/>
    <w:rsid w:val="000A68D1"/>
    <w:rsid w:val="000A77E9"/>
    <w:rsid w:val="000B617B"/>
    <w:rsid w:val="000C07C3"/>
    <w:rsid w:val="000C7DAF"/>
    <w:rsid w:val="000D2B07"/>
    <w:rsid w:val="000D4F03"/>
    <w:rsid w:val="000E0745"/>
    <w:rsid w:val="000F0F55"/>
    <w:rsid w:val="00106402"/>
    <w:rsid w:val="001413C4"/>
    <w:rsid w:val="00145A16"/>
    <w:rsid w:val="00152BC8"/>
    <w:rsid w:val="00153086"/>
    <w:rsid w:val="00160285"/>
    <w:rsid w:val="00163A46"/>
    <w:rsid w:val="00171DE9"/>
    <w:rsid w:val="00177D4D"/>
    <w:rsid w:val="0018564B"/>
    <w:rsid w:val="00185EE5"/>
    <w:rsid w:val="001908E4"/>
    <w:rsid w:val="00197E27"/>
    <w:rsid w:val="001A2F33"/>
    <w:rsid w:val="001A5C20"/>
    <w:rsid w:val="001A790D"/>
    <w:rsid w:val="001B071F"/>
    <w:rsid w:val="001B1AC8"/>
    <w:rsid w:val="001B4452"/>
    <w:rsid w:val="001C6234"/>
    <w:rsid w:val="001D6A4A"/>
    <w:rsid w:val="001D7AC1"/>
    <w:rsid w:val="001E2AE7"/>
    <w:rsid w:val="001E3D2E"/>
    <w:rsid w:val="00206331"/>
    <w:rsid w:val="002069B9"/>
    <w:rsid w:val="00214C0A"/>
    <w:rsid w:val="00215220"/>
    <w:rsid w:val="0021732B"/>
    <w:rsid w:val="002175A9"/>
    <w:rsid w:val="00224BF1"/>
    <w:rsid w:val="00230D5D"/>
    <w:rsid w:val="00242D45"/>
    <w:rsid w:val="00255B5D"/>
    <w:rsid w:val="00256059"/>
    <w:rsid w:val="00263F09"/>
    <w:rsid w:val="00270612"/>
    <w:rsid w:val="00274C5C"/>
    <w:rsid w:val="00285035"/>
    <w:rsid w:val="00294081"/>
    <w:rsid w:val="00296FF0"/>
    <w:rsid w:val="002C2BCA"/>
    <w:rsid w:val="002C4B82"/>
    <w:rsid w:val="002C6C3E"/>
    <w:rsid w:val="002C6CDB"/>
    <w:rsid w:val="002D0A8D"/>
    <w:rsid w:val="002D0DA7"/>
    <w:rsid w:val="002D6678"/>
    <w:rsid w:val="002E0492"/>
    <w:rsid w:val="002E297A"/>
    <w:rsid w:val="002F1C96"/>
    <w:rsid w:val="002F6E2F"/>
    <w:rsid w:val="00307F4F"/>
    <w:rsid w:val="003113B6"/>
    <w:rsid w:val="00322BF6"/>
    <w:rsid w:val="00323DCF"/>
    <w:rsid w:val="00324C52"/>
    <w:rsid w:val="00334C13"/>
    <w:rsid w:val="00341BFF"/>
    <w:rsid w:val="00342D5B"/>
    <w:rsid w:val="003459BF"/>
    <w:rsid w:val="0035779A"/>
    <w:rsid w:val="00380F1B"/>
    <w:rsid w:val="00385CA5"/>
    <w:rsid w:val="00390A92"/>
    <w:rsid w:val="003925E3"/>
    <w:rsid w:val="00396287"/>
    <w:rsid w:val="003A53D5"/>
    <w:rsid w:val="003B1C28"/>
    <w:rsid w:val="003C36B3"/>
    <w:rsid w:val="003D088D"/>
    <w:rsid w:val="003D1334"/>
    <w:rsid w:val="003D48BC"/>
    <w:rsid w:val="003D5480"/>
    <w:rsid w:val="003E251E"/>
    <w:rsid w:val="003F63BE"/>
    <w:rsid w:val="0040217D"/>
    <w:rsid w:val="0042217C"/>
    <w:rsid w:val="00424D5D"/>
    <w:rsid w:val="00444441"/>
    <w:rsid w:val="004536C0"/>
    <w:rsid w:val="004553C9"/>
    <w:rsid w:val="004579C9"/>
    <w:rsid w:val="00473446"/>
    <w:rsid w:val="004821CA"/>
    <w:rsid w:val="00492477"/>
    <w:rsid w:val="004A253E"/>
    <w:rsid w:val="004A547A"/>
    <w:rsid w:val="004A777D"/>
    <w:rsid w:val="004B1908"/>
    <w:rsid w:val="004B4C4D"/>
    <w:rsid w:val="004B6ED9"/>
    <w:rsid w:val="004C03AC"/>
    <w:rsid w:val="004C096B"/>
    <w:rsid w:val="004C3ADC"/>
    <w:rsid w:val="004D2D5C"/>
    <w:rsid w:val="004E1BFA"/>
    <w:rsid w:val="004E21A9"/>
    <w:rsid w:val="004F5C85"/>
    <w:rsid w:val="004F66F7"/>
    <w:rsid w:val="005027BB"/>
    <w:rsid w:val="00503DB4"/>
    <w:rsid w:val="00505021"/>
    <w:rsid w:val="00510424"/>
    <w:rsid w:val="00512166"/>
    <w:rsid w:val="00515834"/>
    <w:rsid w:val="005170CD"/>
    <w:rsid w:val="00517ADD"/>
    <w:rsid w:val="00522C50"/>
    <w:rsid w:val="005252D1"/>
    <w:rsid w:val="005266AE"/>
    <w:rsid w:val="00540A68"/>
    <w:rsid w:val="0054514C"/>
    <w:rsid w:val="00560DD1"/>
    <w:rsid w:val="00563453"/>
    <w:rsid w:val="00565448"/>
    <w:rsid w:val="005675B7"/>
    <w:rsid w:val="00593B2F"/>
    <w:rsid w:val="005A159E"/>
    <w:rsid w:val="005B09E3"/>
    <w:rsid w:val="005B7E02"/>
    <w:rsid w:val="005C5B05"/>
    <w:rsid w:val="005C6551"/>
    <w:rsid w:val="005D32C9"/>
    <w:rsid w:val="005E2D22"/>
    <w:rsid w:val="005E5D7A"/>
    <w:rsid w:val="005E7A22"/>
    <w:rsid w:val="005F2FDE"/>
    <w:rsid w:val="005F7898"/>
    <w:rsid w:val="006000A5"/>
    <w:rsid w:val="006054FF"/>
    <w:rsid w:val="00607A03"/>
    <w:rsid w:val="00624CC1"/>
    <w:rsid w:val="0063634C"/>
    <w:rsid w:val="00636FBE"/>
    <w:rsid w:val="00640582"/>
    <w:rsid w:val="00647F78"/>
    <w:rsid w:val="006512C5"/>
    <w:rsid w:val="00651F67"/>
    <w:rsid w:val="00664EE4"/>
    <w:rsid w:val="00666148"/>
    <w:rsid w:val="006851C4"/>
    <w:rsid w:val="006B3298"/>
    <w:rsid w:val="006B4811"/>
    <w:rsid w:val="006B4DEE"/>
    <w:rsid w:val="006B5A4C"/>
    <w:rsid w:val="006B77B2"/>
    <w:rsid w:val="006C62C0"/>
    <w:rsid w:val="006C6D0D"/>
    <w:rsid w:val="006D21F2"/>
    <w:rsid w:val="006D6D55"/>
    <w:rsid w:val="006E02B3"/>
    <w:rsid w:val="006E241E"/>
    <w:rsid w:val="006F1E5C"/>
    <w:rsid w:val="0071720D"/>
    <w:rsid w:val="00730F87"/>
    <w:rsid w:val="0073454D"/>
    <w:rsid w:val="007404ED"/>
    <w:rsid w:val="00740713"/>
    <w:rsid w:val="00745B29"/>
    <w:rsid w:val="00761F7E"/>
    <w:rsid w:val="0076622C"/>
    <w:rsid w:val="007778F4"/>
    <w:rsid w:val="007B7DCB"/>
    <w:rsid w:val="007C53BA"/>
    <w:rsid w:val="007D3C5D"/>
    <w:rsid w:val="007E2E9E"/>
    <w:rsid w:val="007E3D9A"/>
    <w:rsid w:val="007F52D6"/>
    <w:rsid w:val="008034E1"/>
    <w:rsid w:val="00807651"/>
    <w:rsid w:val="00821EAE"/>
    <w:rsid w:val="008377A0"/>
    <w:rsid w:val="00840E7C"/>
    <w:rsid w:val="008607D2"/>
    <w:rsid w:val="008772F4"/>
    <w:rsid w:val="008A2C77"/>
    <w:rsid w:val="008A3126"/>
    <w:rsid w:val="008A6083"/>
    <w:rsid w:val="008B3B76"/>
    <w:rsid w:val="008C12E2"/>
    <w:rsid w:val="008D38EF"/>
    <w:rsid w:val="008E53C9"/>
    <w:rsid w:val="008E5C76"/>
    <w:rsid w:val="008F0BED"/>
    <w:rsid w:val="008F551C"/>
    <w:rsid w:val="00902F3F"/>
    <w:rsid w:val="00921E9C"/>
    <w:rsid w:val="00922444"/>
    <w:rsid w:val="009263A7"/>
    <w:rsid w:val="00931B67"/>
    <w:rsid w:val="00933048"/>
    <w:rsid w:val="009334CA"/>
    <w:rsid w:val="0094045D"/>
    <w:rsid w:val="00945B31"/>
    <w:rsid w:val="0095090A"/>
    <w:rsid w:val="00952405"/>
    <w:rsid w:val="00974B81"/>
    <w:rsid w:val="00981C09"/>
    <w:rsid w:val="0098468E"/>
    <w:rsid w:val="00985103"/>
    <w:rsid w:val="00993E80"/>
    <w:rsid w:val="009A0724"/>
    <w:rsid w:val="009A2C86"/>
    <w:rsid w:val="009B20A8"/>
    <w:rsid w:val="009B7364"/>
    <w:rsid w:val="009B777C"/>
    <w:rsid w:val="009D6A35"/>
    <w:rsid w:val="009F0889"/>
    <w:rsid w:val="00A06F4C"/>
    <w:rsid w:val="00A10620"/>
    <w:rsid w:val="00A30355"/>
    <w:rsid w:val="00A3783D"/>
    <w:rsid w:val="00A5119B"/>
    <w:rsid w:val="00A52D22"/>
    <w:rsid w:val="00A541ED"/>
    <w:rsid w:val="00A54F42"/>
    <w:rsid w:val="00A55301"/>
    <w:rsid w:val="00A60DC1"/>
    <w:rsid w:val="00A76FF1"/>
    <w:rsid w:val="00A95E1B"/>
    <w:rsid w:val="00A97BBF"/>
    <w:rsid w:val="00AB0FC4"/>
    <w:rsid w:val="00AB2D3D"/>
    <w:rsid w:val="00AB5E42"/>
    <w:rsid w:val="00AC6025"/>
    <w:rsid w:val="00AE1DA5"/>
    <w:rsid w:val="00AF125E"/>
    <w:rsid w:val="00AF323A"/>
    <w:rsid w:val="00AF5A53"/>
    <w:rsid w:val="00AF7641"/>
    <w:rsid w:val="00B0593D"/>
    <w:rsid w:val="00B25741"/>
    <w:rsid w:val="00B33F3F"/>
    <w:rsid w:val="00B353F2"/>
    <w:rsid w:val="00B553BA"/>
    <w:rsid w:val="00B77809"/>
    <w:rsid w:val="00B83C03"/>
    <w:rsid w:val="00BA72AB"/>
    <w:rsid w:val="00BB27C9"/>
    <w:rsid w:val="00BC0F67"/>
    <w:rsid w:val="00BC12C7"/>
    <w:rsid w:val="00BD0C1D"/>
    <w:rsid w:val="00BD7E19"/>
    <w:rsid w:val="00BE37B5"/>
    <w:rsid w:val="00BE3B44"/>
    <w:rsid w:val="00BF1A6E"/>
    <w:rsid w:val="00BF3801"/>
    <w:rsid w:val="00C00405"/>
    <w:rsid w:val="00C02FE3"/>
    <w:rsid w:val="00C150E9"/>
    <w:rsid w:val="00C17C0D"/>
    <w:rsid w:val="00C254E3"/>
    <w:rsid w:val="00C26B1F"/>
    <w:rsid w:val="00C35A64"/>
    <w:rsid w:val="00C374BA"/>
    <w:rsid w:val="00C42C7C"/>
    <w:rsid w:val="00C4738B"/>
    <w:rsid w:val="00C47CBE"/>
    <w:rsid w:val="00C50AEA"/>
    <w:rsid w:val="00C64AD4"/>
    <w:rsid w:val="00C651B5"/>
    <w:rsid w:val="00C66378"/>
    <w:rsid w:val="00C806BF"/>
    <w:rsid w:val="00C9693D"/>
    <w:rsid w:val="00C97236"/>
    <w:rsid w:val="00C974FC"/>
    <w:rsid w:val="00CA0D14"/>
    <w:rsid w:val="00CA16D0"/>
    <w:rsid w:val="00CA3313"/>
    <w:rsid w:val="00CA398F"/>
    <w:rsid w:val="00CA4E19"/>
    <w:rsid w:val="00CA7EC6"/>
    <w:rsid w:val="00CB1ED7"/>
    <w:rsid w:val="00CC1014"/>
    <w:rsid w:val="00CC6DE3"/>
    <w:rsid w:val="00CD196A"/>
    <w:rsid w:val="00CE330B"/>
    <w:rsid w:val="00CE42D7"/>
    <w:rsid w:val="00CF43D6"/>
    <w:rsid w:val="00CF4AD2"/>
    <w:rsid w:val="00CF7DEC"/>
    <w:rsid w:val="00D0118A"/>
    <w:rsid w:val="00D0642E"/>
    <w:rsid w:val="00D12EE9"/>
    <w:rsid w:val="00D176AB"/>
    <w:rsid w:val="00D2309B"/>
    <w:rsid w:val="00D247AA"/>
    <w:rsid w:val="00D32BA2"/>
    <w:rsid w:val="00D32F45"/>
    <w:rsid w:val="00D3323A"/>
    <w:rsid w:val="00D434EE"/>
    <w:rsid w:val="00D443A7"/>
    <w:rsid w:val="00D46707"/>
    <w:rsid w:val="00D6207D"/>
    <w:rsid w:val="00D663F8"/>
    <w:rsid w:val="00DA0B45"/>
    <w:rsid w:val="00DA57E8"/>
    <w:rsid w:val="00DD27A2"/>
    <w:rsid w:val="00DF07B2"/>
    <w:rsid w:val="00E0120D"/>
    <w:rsid w:val="00E02E5E"/>
    <w:rsid w:val="00E037C6"/>
    <w:rsid w:val="00E050CE"/>
    <w:rsid w:val="00E13E6A"/>
    <w:rsid w:val="00E15C5E"/>
    <w:rsid w:val="00E366FE"/>
    <w:rsid w:val="00E37515"/>
    <w:rsid w:val="00E4349C"/>
    <w:rsid w:val="00E56639"/>
    <w:rsid w:val="00E57238"/>
    <w:rsid w:val="00E61FCE"/>
    <w:rsid w:val="00E65FFB"/>
    <w:rsid w:val="00E90C24"/>
    <w:rsid w:val="00E90F4D"/>
    <w:rsid w:val="00E91024"/>
    <w:rsid w:val="00E92D7C"/>
    <w:rsid w:val="00E9402C"/>
    <w:rsid w:val="00EA018D"/>
    <w:rsid w:val="00EA337A"/>
    <w:rsid w:val="00EB12F0"/>
    <w:rsid w:val="00EB7F96"/>
    <w:rsid w:val="00EC0FDD"/>
    <w:rsid w:val="00EC36E1"/>
    <w:rsid w:val="00EC658A"/>
    <w:rsid w:val="00EC7BAF"/>
    <w:rsid w:val="00ED08EF"/>
    <w:rsid w:val="00ED2898"/>
    <w:rsid w:val="00ED3E6D"/>
    <w:rsid w:val="00EE7944"/>
    <w:rsid w:val="00EE7A87"/>
    <w:rsid w:val="00EF5771"/>
    <w:rsid w:val="00EF7C76"/>
    <w:rsid w:val="00F02663"/>
    <w:rsid w:val="00F04C41"/>
    <w:rsid w:val="00F12467"/>
    <w:rsid w:val="00F1247B"/>
    <w:rsid w:val="00F2144E"/>
    <w:rsid w:val="00F234C2"/>
    <w:rsid w:val="00F23C83"/>
    <w:rsid w:val="00F3663D"/>
    <w:rsid w:val="00F44086"/>
    <w:rsid w:val="00F50558"/>
    <w:rsid w:val="00F568B8"/>
    <w:rsid w:val="00F72F8D"/>
    <w:rsid w:val="00F76A88"/>
    <w:rsid w:val="00F91DCA"/>
    <w:rsid w:val="00FA051E"/>
    <w:rsid w:val="00FA60CC"/>
    <w:rsid w:val="00FA6D2E"/>
    <w:rsid w:val="00FB0706"/>
    <w:rsid w:val="00FB309C"/>
    <w:rsid w:val="00FB59B0"/>
    <w:rsid w:val="00FB6255"/>
    <w:rsid w:val="00FC724D"/>
    <w:rsid w:val="00FC775F"/>
    <w:rsid w:val="00FD0808"/>
    <w:rsid w:val="00FD5FE9"/>
    <w:rsid w:val="00FE1CCE"/>
    <w:rsid w:val="00FF3B6F"/>
    <w:rsid w:val="00FF53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4A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1"/>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1"/>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1"/>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1"/>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1"/>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1"/>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1"/>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1"/>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1"/>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pPr>
  </w:style>
  <w:style w:type="paragraph" w:styleId="Lijstnummering">
    <w:name w:val="List Number"/>
    <w:basedOn w:val="Standaard"/>
    <w:link w:val="LijstnummeringChar"/>
    <w:qFormat/>
    <w:rsid w:val="00EA018D"/>
    <w:pPr>
      <w:numPr>
        <w:numId w:val="24"/>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p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paragraph" w:styleId="Lijstalinea">
    <w:name w:val="List Paragraph"/>
    <w:basedOn w:val="Standaard"/>
    <w:uiPriority w:val="34"/>
    <w:rsid w:val="002C4B82"/>
    <w:pPr>
      <w:ind w:left="720"/>
    </w:pPr>
  </w:style>
  <w:style w:type="character" w:styleId="Verwijzingopmerking">
    <w:name w:val="annotation reference"/>
    <w:basedOn w:val="Standaardalinea-lettertype"/>
    <w:semiHidden/>
    <w:unhideWhenUsed/>
    <w:rsid w:val="009F0889"/>
    <w:rPr>
      <w:sz w:val="16"/>
      <w:szCs w:val="16"/>
    </w:rPr>
  </w:style>
  <w:style w:type="paragraph" w:styleId="Tekstopmerking">
    <w:name w:val="annotation text"/>
    <w:basedOn w:val="Standaard"/>
    <w:link w:val="TekstopmerkingChar"/>
    <w:semiHidden/>
    <w:unhideWhenUsed/>
    <w:rsid w:val="009F0889"/>
    <w:pPr>
      <w:spacing w:line="240" w:lineRule="auto"/>
    </w:pPr>
    <w:rPr>
      <w:szCs w:val="20"/>
    </w:rPr>
  </w:style>
  <w:style w:type="character" w:customStyle="1" w:styleId="TekstopmerkingChar">
    <w:name w:val="Tekst opmerking Char"/>
    <w:basedOn w:val="Standaardalinea-lettertype"/>
    <w:link w:val="Tekstopmerking"/>
    <w:semiHidden/>
    <w:rsid w:val="009F0889"/>
    <w:rPr>
      <w:color w:val="585849" w:themeColor="text1" w:themeShade="80"/>
      <w:lang w:eastAsia="nl-NL"/>
    </w:rPr>
  </w:style>
  <w:style w:type="paragraph" w:styleId="Onderwerpvanopmerking">
    <w:name w:val="annotation subject"/>
    <w:basedOn w:val="Tekstopmerking"/>
    <w:next w:val="Tekstopmerking"/>
    <w:link w:val="OnderwerpvanopmerkingChar"/>
    <w:semiHidden/>
    <w:unhideWhenUsed/>
    <w:rsid w:val="009F0889"/>
    <w:rPr>
      <w:b/>
      <w:bCs/>
    </w:rPr>
  </w:style>
  <w:style w:type="character" w:customStyle="1" w:styleId="OnderwerpvanopmerkingChar">
    <w:name w:val="Onderwerp van opmerking Char"/>
    <w:basedOn w:val="TekstopmerkingChar"/>
    <w:link w:val="Onderwerpvanopmerking"/>
    <w:semiHidden/>
    <w:rsid w:val="009F0889"/>
    <w:rPr>
      <w:b/>
      <w:bCs/>
      <w:color w:val="585849" w:themeColor="text1" w:themeShade="80"/>
      <w:lang w:eastAsia="nl-NL"/>
    </w:rPr>
  </w:style>
  <w:style w:type="paragraph" w:styleId="Revisie">
    <w:name w:val="Revision"/>
    <w:hidden/>
    <w:uiPriority w:val="99"/>
    <w:semiHidden/>
    <w:rsid w:val="000A0176"/>
    <w:pPr>
      <w:spacing w:line="240" w:lineRule="auto"/>
    </w:pPr>
    <w:rPr>
      <w:color w:val="585849" w:themeColor="text1" w:themeShade="80"/>
      <w:szCs w:val="12"/>
      <w:lang w:eastAsia="nl-NL"/>
    </w:rPr>
  </w:style>
  <w:style w:type="character" w:customStyle="1" w:styleId="Onopgelostemelding1">
    <w:name w:val="Onopgeloste melding1"/>
    <w:basedOn w:val="Standaardalinea-lettertype"/>
    <w:uiPriority w:val="99"/>
    <w:semiHidden/>
    <w:unhideWhenUsed/>
    <w:rsid w:val="00323DCF"/>
    <w:rPr>
      <w:color w:val="808080"/>
      <w:shd w:val="clear" w:color="auto" w:fill="E6E6E6"/>
    </w:rPr>
  </w:style>
  <w:style w:type="paragraph" w:styleId="Voetnoottekst">
    <w:name w:val="footnote text"/>
    <w:basedOn w:val="Standaard"/>
    <w:link w:val="VoetnoottekstChar"/>
    <w:rsid w:val="00EE7944"/>
    <w:pPr>
      <w:spacing w:before="200" w:after="200" w:line="276" w:lineRule="auto"/>
      <w:contextualSpacing w:val="0"/>
    </w:pPr>
    <w:rPr>
      <w:rFonts w:ascii="Calibri" w:eastAsia="Calibri" w:hAnsi="Calibri"/>
      <w:color w:val="auto"/>
      <w:szCs w:val="20"/>
      <w:lang w:eastAsia="en-US" w:bidi="en-US"/>
    </w:rPr>
  </w:style>
  <w:style w:type="character" w:customStyle="1" w:styleId="VoetnoottekstChar">
    <w:name w:val="Voetnoottekst Char"/>
    <w:basedOn w:val="Standaardalinea-lettertype"/>
    <w:link w:val="Voetnoottekst"/>
    <w:rsid w:val="00EE7944"/>
    <w:rPr>
      <w:rFonts w:ascii="Calibri" w:eastAsia="Calibri" w:hAnsi="Calibri"/>
      <w:lang w:eastAsia="en-US" w:bidi="en-US"/>
    </w:rPr>
  </w:style>
  <w:style w:type="character" w:styleId="Voetnootmarkering">
    <w:name w:val="footnote reference"/>
    <w:basedOn w:val="Standaardalinea-lettertype"/>
    <w:rsid w:val="00EE7944"/>
    <w:rPr>
      <w:vertAlign w:val="superscript"/>
    </w:rPr>
  </w:style>
  <w:style w:type="character" w:customStyle="1" w:styleId="Onopgelostemelding2">
    <w:name w:val="Onopgeloste melding2"/>
    <w:basedOn w:val="Standaardalinea-lettertype"/>
    <w:uiPriority w:val="99"/>
    <w:semiHidden/>
    <w:unhideWhenUsed/>
    <w:rsid w:val="00A60D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1361">
      <w:bodyDiv w:val="1"/>
      <w:marLeft w:val="0"/>
      <w:marRight w:val="0"/>
      <w:marTop w:val="0"/>
      <w:marBottom w:val="0"/>
      <w:divBdr>
        <w:top w:val="none" w:sz="0" w:space="0" w:color="auto"/>
        <w:left w:val="none" w:sz="0" w:space="0" w:color="auto"/>
        <w:bottom w:val="none" w:sz="0" w:space="0" w:color="auto"/>
        <w:right w:val="none" w:sz="0" w:space="0" w:color="auto"/>
      </w:divBdr>
    </w:div>
    <w:div w:id="1405451778">
      <w:bodyDiv w:val="1"/>
      <w:marLeft w:val="0"/>
      <w:marRight w:val="0"/>
      <w:marTop w:val="0"/>
      <w:marBottom w:val="0"/>
      <w:divBdr>
        <w:top w:val="none" w:sz="0" w:space="0" w:color="auto"/>
        <w:left w:val="none" w:sz="0" w:space="0" w:color="auto"/>
        <w:bottom w:val="none" w:sz="0" w:space="0" w:color="auto"/>
        <w:right w:val="none" w:sz="0" w:space="0" w:color="auto"/>
      </w:divBdr>
    </w:div>
    <w:div w:id="1958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pieter.vanderstappen@vvsg.b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ben.gilot@vvsg.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ieter.vanderstappen@vvsg.b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me.vandeginste@vvsg.be" TargetMode="External"/><Relationship Id="rId20" Type="http://schemas.openxmlformats.org/officeDocument/2006/relationships/hyperlink" Target="mailto:pieter.vanderstappen@vvsg.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ieter.vanderstappen@vvsg.b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mme.vandeginste@vvsg.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e.vandeginste@vvsg.be" TargetMode="External"/><Relationship Id="rId22" Type="http://schemas.openxmlformats.org/officeDocument/2006/relationships/hyperlink" Target="mailto:emme.vandeginste@vvsg.b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3026CD4510D4D8062B0E1542CE569" ma:contentTypeVersion="1" ma:contentTypeDescription="Een nieuw document maken." ma:contentTypeScope="" ma:versionID="9f5fc9b83eaee36bb9cb8b4f9a017050">
  <xsd:schema xmlns:xsd="http://www.w3.org/2001/XMLSchema" xmlns:xs="http://www.w3.org/2001/XMLSchema" xmlns:p="http://schemas.microsoft.com/office/2006/metadata/properties" xmlns:ns1="http://schemas.microsoft.com/sharepoint/v3" targetNamespace="http://schemas.microsoft.com/office/2006/metadata/properties" ma:root="true" ma:fieldsID="c920761366102fa1e3734b3d613101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6DE1-DA57-4EC8-B823-39710DFE3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56DDE-73D2-41FC-BBCE-2797EF828191}">
  <ds:schemaRefs>
    <ds:schemaRef ds:uri="http://schemas.microsoft.com/sharepoint/v3/contenttype/forms"/>
  </ds:schemaRefs>
</ds:datastoreItem>
</file>

<file path=customXml/itemProps3.xml><?xml version="1.0" encoding="utf-8"?>
<ds:datastoreItem xmlns:ds="http://schemas.openxmlformats.org/officeDocument/2006/customXml" ds:itemID="{6BE0D44A-CCA7-4F4F-A141-12CB1C0223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33CE334-5AB0-4C53-ADE0-151FF17D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2928</Words>
  <Characters>16105</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2018-06-29T06:40:00Z</dcterms:created>
  <dcterms:modified xsi:type="dcterms:W3CDTF">2018-06-29T06:44:00Z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d393586c-24ed-494f-9ac8-4dbd0ac7eec5</vt:lpwstr>
  </property>
  <property fmtid="{D5CDD505-2E9C-101B-9397-08002B2CF9AE}" pid="3" name="ContentTypeId">
    <vt:lpwstr>0x010100B8A3026CD4510D4D8062B0E1542CE569</vt:lpwstr>
  </property>
</Properties>
</file>