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916CBF" w14:textId="63D04BE1" w:rsidR="00762332" w:rsidRPr="00FD7D20" w:rsidRDefault="00762332" w:rsidP="00762332">
      <w:pPr>
        <w:pStyle w:val="VVSGreferenties"/>
        <w:framePr w:hSpace="0" w:wrap="auto" w:vAnchor="margin" w:hAnchor="text" w:yAlign="inline"/>
        <w:suppressOverlap w:val="0"/>
        <w:rPr>
          <w:lang w:val="de-DE"/>
        </w:rPr>
      </w:pPr>
      <w:r w:rsidRPr="00FD7D20">
        <w:rPr>
          <w:b/>
          <w:bCs/>
          <w:lang w:val="de-DE"/>
        </w:rPr>
        <w:t>datum</w:t>
      </w:r>
      <w:r w:rsidRPr="00FD7D20">
        <w:rPr>
          <w:lang w:val="de-DE"/>
        </w:rPr>
        <w:t xml:space="preserve">: </w:t>
      </w:r>
      <w:sdt>
        <w:sdtPr>
          <w:rPr>
            <w:lang w:val="de-DE"/>
          </w:rPr>
          <w:id w:val="-1371985293"/>
          <w:placeholder>
            <w:docPart w:val="A07957B5B035457481451D0D2155CAE0"/>
          </w:placeholder>
          <w:date w:fullDate="2024-07-04T00:00:00Z">
            <w:dateFormat w:val="d MMMM yyyy"/>
            <w:lid w:val="nl-BE"/>
            <w:storeMappedDataAs w:val="dateTime"/>
            <w:calendar w:val="gregorian"/>
          </w:date>
        </w:sdtPr>
        <w:sdtEndPr/>
        <w:sdtContent>
          <w:r w:rsidR="003A7C42" w:rsidRPr="00FD7D20">
            <w:rPr>
              <w:lang w:val="de-DE"/>
            </w:rPr>
            <w:t>4 juli 2024</w:t>
          </w:r>
        </w:sdtContent>
      </w:sdt>
    </w:p>
    <w:p w14:paraId="79EBC902" w14:textId="43C3D544" w:rsidR="00024353" w:rsidRDefault="00FD7D20" w:rsidP="00FD7D20">
      <w:pPr>
        <w:pStyle w:val="VVSGOnderwerp"/>
      </w:pPr>
      <w:r w:rsidRPr="00FD7D20">
        <w:t>Medische kaart en Medische Co</w:t>
      </w:r>
      <w:r>
        <w:t>nventie</w:t>
      </w:r>
    </w:p>
    <w:p w14:paraId="5741F237" w14:textId="77777777" w:rsidR="004D05D8" w:rsidRPr="004D05D8" w:rsidRDefault="004D05D8" w:rsidP="004D38AC">
      <w:pPr>
        <w:pStyle w:val="VVSGTitel1"/>
      </w:pPr>
      <w:r w:rsidRPr="004D05D8">
        <w:t>Begrippenkader</w:t>
      </w:r>
    </w:p>
    <w:p w14:paraId="17F600A0" w14:textId="77777777" w:rsidR="004D05D8" w:rsidRPr="004D05D8" w:rsidRDefault="004D05D8" w:rsidP="004D05D8">
      <w:pPr>
        <w:pStyle w:val="VVSGBodytekst"/>
        <w:rPr>
          <w:lang w:val="nl-NL"/>
        </w:rPr>
      </w:pPr>
    </w:p>
    <w:p w14:paraId="5382A907" w14:textId="77777777" w:rsidR="004D05D8" w:rsidRPr="004D05D8" w:rsidRDefault="004D05D8" w:rsidP="004D05D8">
      <w:pPr>
        <w:pStyle w:val="VVSGBodytekst"/>
        <w:rPr>
          <w:lang w:val="nl-NL"/>
        </w:rPr>
      </w:pPr>
      <w:r w:rsidRPr="004D05D8">
        <w:rPr>
          <w:lang w:val="nl-NL"/>
        </w:rPr>
        <w:t xml:space="preserve">Betalingsverbintenis, requisitoir, hulpverleningspas, medische kaart… het bestaan van zoveel begrippen om hetzelfde type document aan te duiden, schept verwarring. </w:t>
      </w:r>
    </w:p>
    <w:p w14:paraId="22B85176" w14:textId="77777777" w:rsidR="004D05D8" w:rsidRPr="004D05D8" w:rsidRDefault="004D05D8" w:rsidP="004D05D8">
      <w:pPr>
        <w:pStyle w:val="VVSGBodytekst"/>
        <w:rPr>
          <w:lang w:val="nl-NL"/>
        </w:rPr>
      </w:pPr>
    </w:p>
    <w:p w14:paraId="1419D33E" w14:textId="21167DFC" w:rsidR="004D05D8" w:rsidRPr="004D05D8" w:rsidRDefault="004D05D8" w:rsidP="004D05D8">
      <w:pPr>
        <w:pStyle w:val="VVSGBodytekst"/>
        <w:rPr>
          <w:lang w:val="nl-NL"/>
        </w:rPr>
      </w:pPr>
      <w:r w:rsidRPr="004D05D8">
        <w:rPr>
          <w:i/>
          <w:lang w:val="nl-NL"/>
        </w:rPr>
        <w:t>Requisitoir</w:t>
      </w:r>
      <w:r w:rsidRPr="004D05D8">
        <w:rPr>
          <w:lang w:val="nl-NL"/>
        </w:rPr>
        <w:t xml:space="preserve">: Dit is een leenwoord uit het Frans. Franstalige OCMW-collega’s zullen meestal over een ‘requisitoir’ spreken. </w:t>
      </w:r>
    </w:p>
    <w:p w14:paraId="3DC9ADEB" w14:textId="77777777" w:rsidR="004D05D8" w:rsidRPr="004D05D8" w:rsidRDefault="004D05D8" w:rsidP="004D05D8">
      <w:pPr>
        <w:pStyle w:val="VVSGBodytekst"/>
        <w:rPr>
          <w:lang w:val="nl-NL"/>
        </w:rPr>
      </w:pPr>
    </w:p>
    <w:p w14:paraId="7D21D347" w14:textId="77777777" w:rsidR="004D05D8" w:rsidRPr="004D05D8" w:rsidRDefault="004D05D8" w:rsidP="004D05D8">
      <w:pPr>
        <w:pStyle w:val="VVSGBodytekst"/>
        <w:rPr>
          <w:lang w:val="nl-NL"/>
        </w:rPr>
      </w:pPr>
      <w:r w:rsidRPr="004D05D8">
        <w:rPr>
          <w:i/>
          <w:lang w:val="nl-NL"/>
        </w:rPr>
        <w:t>Betalingsverbintenis</w:t>
      </w:r>
      <w:r w:rsidRPr="004D05D8">
        <w:rPr>
          <w:lang w:val="nl-NL"/>
        </w:rPr>
        <w:t>: Dit begrip geeft het duidelijkst weer waarover het gaat. Het OCMW gaat de verbintenis aan om een bepaalde kost ten laste te nemen. In dit geval medische kosten. De betalingsverbintenis wordt echter ook buiten het domein van de medische zorgen gebruikt. Daarom kiezen we toch voor ‘medische kaart’ als te gebruiken term.</w:t>
      </w:r>
    </w:p>
    <w:p w14:paraId="15B352DE" w14:textId="77777777" w:rsidR="004D05D8" w:rsidRPr="004D05D8" w:rsidRDefault="004D05D8" w:rsidP="004D05D8">
      <w:pPr>
        <w:pStyle w:val="VVSGBodytekst"/>
        <w:rPr>
          <w:lang w:val="nl-NL"/>
        </w:rPr>
      </w:pPr>
    </w:p>
    <w:p w14:paraId="1B7EBCBB" w14:textId="1850FC6E" w:rsidR="004D05D8" w:rsidRPr="004D05D8" w:rsidRDefault="004D05D8" w:rsidP="004D05D8">
      <w:pPr>
        <w:pStyle w:val="VVSGBodytekst"/>
        <w:rPr>
          <w:lang w:val="nl-NL"/>
        </w:rPr>
      </w:pPr>
      <w:r w:rsidRPr="004D05D8">
        <w:rPr>
          <w:i/>
          <w:lang w:val="nl-NL"/>
        </w:rPr>
        <w:t>Medische kaart</w:t>
      </w:r>
      <w:r w:rsidRPr="004D05D8">
        <w:rPr>
          <w:lang w:val="nl-NL"/>
        </w:rPr>
        <w:t xml:space="preserve">: Dit is een document waardoor het OCMW zich er t.a.v. de zorgverlener toe verplicht om de kosten van (bepaalde) medische prestaties gedurende een bepaalde </w:t>
      </w:r>
      <w:r w:rsidR="00FE5C37">
        <w:rPr>
          <w:lang w:val="nl-NL"/>
        </w:rPr>
        <w:t>periode</w:t>
      </w:r>
      <w:r w:rsidRPr="004D05D8">
        <w:rPr>
          <w:lang w:val="nl-NL"/>
        </w:rPr>
        <w:t xml:space="preserve"> ten laste te nemen. Indien het een vreemdeling betreft, kan ook informatie over het verblijfsrecht van de betrokkene worden gegeven maar dat is niet noodzakelijk. Om begripsverwarring zoveel mogelijk te vermijden, kan ‘betalingsverbintenis’ als ondertitel gebruikt worden.</w:t>
      </w:r>
    </w:p>
    <w:p w14:paraId="681B209B" w14:textId="77777777" w:rsidR="004D05D8" w:rsidRPr="004D05D8" w:rsidRDefault="004D05D8" w:rsidP="004D05D8">
      <w:pPr>
        <w:pStyle w:val="VVSGBodytekst"/>
        <w:rPr>
          <w:lang w:val="nl-NL"/>
        </w:rPr>
      </w:pPr>
    </w:p>
    <w:p w14:paraId="09AF1842" w14:textId="369DE404" w:rsidR="004D05D8" w:rsidRPr="004D05D8" w:rsidRDefault="004D05D8" w:rsidP="004D05D8">
      <w:pPr>
        <w:pStyle w:val="VVSGBodytekst"/>
        <w:rPr>
          <w:lang w:val="nl-NL"/>
        </w:rPr>
      </w:pPr>
      <w:r w:rsidRPr="004D05D8">
        <w:rPr>
          <w:i/>
          <w:lang w:val="nl-NL"/>
        </w:rPr>
        <w:t>Medische conventie</w:t>
      </w:r>
      <w:r w:rsidRPr="004D05D8">
        <w:rPr>
          <w:lang w:val="nl-NL"/>
        </w:rPr>
        <w:t xml:space="preserve">: Een overeenkomst gesloten tussen een OCMW en een (groep van) zorgverlener(s) waarin afspraken worden gemaakt i.v.m. het verstrekken van medische zorgen aan (groepen van) </w:t>
      </w:r>
      <w:r w:rsidR="00564DAA">
        <w:rPr>
          <w:lang w:val="nl-NL"/>
        </w:rPr>
        <w:t>hulpvragers</w:t>
      </w:r>
      <w:r w:rsidRPr="004D05D8">
        <w:rPr>
          <w:lang w:val="nl-NL"/>
        </w:rPr>
        <w:t xml:space="preserve"> en/of de toepassing van de regeling dringende medische hulp. Het gaat meestal om zorgverleners gevestigd op het eigen grondgebied maar dat is niet noodzakelijk. Zo kan een OCMW ook een medische conventie sluiten met het regionaal ziekenhuis dat in een naburige gemeente ligt. Hoe verregaand zo’n medische conventie is, wordt door de partijen bepaald.</w:t>
      </w:r>
    </w:p>
    <w:p w14:paraId="1D425B71" w14:textId="77777777" w:rsidR="004D05D8" w:rsidRPr="004D05D8" w:rsidRDefault="004D05D8" w:rsidP="004D05D8">
      <w:pPr>
        <w:pStyle w:val="VVSGBodytekst"/>
        <w:rPr>
          <w:lang w:val="nl-NL"/>
        </w:rPr>
      </w:pPr>
    </w:p>
    <w:p w14:paraId="3B1BC175" w14:textId="30050CF1" w:rsidR="004D05D8" w:rsidRPr="004D05D8" w:rsidRDefault="004D05D8" w:rsidP="004D05D8">
      <w:pPr>
        <w:pStyle w:val="VVSGBodytekst"/>
        <w:rPr>
          <w:lang w:val="nl-NL"/>
        </w:rPr>
      </w:pPr>
      <w:r w:rsidRPr="004D05D8">
        <w:rPr>
          <w:lang w:val="nl-NL"/>
        </w:rPr>
        <w:t xml:space="preserve">Met </w:t>
      </w:r>
      <w:r w:rsidRPr="004D05D8">
        <w:rPr>
          <w:i/>
          <w:lang w:val="nl-NL"/>
        </w:rPr>
        <w:t>zorgverlener</w:t>
      </w:r>
      <w:r w:rsidRPr="004D05D8">
        <w:rPr>
          <w:lang w:val="nl-NL"/>
        </w:rPr>
        <w:t xml:space="preserve"> bedoelen we in deze tekst: artsen, ziekenhuizen, tandartsen, apothekers, kinesisten enz. tenzij we uitdrukkelijk een bepaalde beroepsgroep vermelden.</w:t>
      </w:r>
    </w:p>
    <w:p w14:paraId="5E757370" w14:textId="010CC4EE" w:rsidR="004D05D8" w:rsidRPr="003D3ABC" w:rsidRDefault="003D3ABC" w:rsidP="004D05D8">
      <w:pPr>
        <w:pStyle w:val="VVSGTitel1"/>
        <w:rPr>
          <w:lang w:val="nl-NL"/>
        </w:rPr>
      </w:pPr>
      <w:r>
        <w:t>De</w:t>
      </w:r>
      <w:r w:rsidR="004D05D8" w:rsidRPr="004D05D8">
        <w:t xml:space="preserve"> medische kaart</w:t>
      </w:r>
      <w:r w:rsidR="00C84D94">
        <w:t xml:space="preserve"> (niet in Mediprima)</w:t>
      </w:r>
    </w:p>
    <w:p w14:paraId="5ADA846D" w14:textId="6DFED041" w:rsidR="004D05D8" w:rsidRPr="004D05D8" w:rsidRDefault="004D05D8" w:rsidP="004D05D8">
      <w:pPr>
        <w:pStyle w:val="VVSGBodytekst"/>
        <w:rPr>
          <w:lang w:val="nl-NL"/>
        </w:rPr>
      </w:pPr>
      <w:r w:rsidRPr="004D05D8">
        <w:rPr>
          <w:lang w:val="nl-NL"/>
        </w:rPr>
        <w:t xml:space="preserve">Een medische kaart is een document dat door het OCMW afgeleverd wordt aan een </w:t>
      </w:r>
      <w:r w:rsidR="00DD0A62">
        <w:rPr>
          <w:lang w:val="nl-NL"/>
        </w:rPr>
        <w:t>hulpvrager</w:t>
      </w:r>
      <w:r w:rsidRPr="004D05D8">
        <w:rPr>
          <w:lang w:val="nl-NL"/>
        </w:rPr>
        <w:t xml:space="preserve">. Door dat document af te leveren, verbindt het OCMW zich er t.a.v. de zorgverlener toe om de kosten van </w:t>
      </w:r>
      <w:r w:rsidR="008112C4">
        <w:rPr>
          <w:lang w:val="nl-NL"/>
        </w:rPr>
        <w:t>(</w:t>
      </w:r>
      <w:r w:rsidRPr="004D05D8">
        <w:rPr>
          <w:lang w:val="nl-NL"/>
        </w:rPr>
        <w:t>bepaalde</w:t>
      </w:r>
      <w:r w:rsidR="008112C4">
        <w:rPr>
          <w:lang w:val="nl-NL"/>
        </w:rPr>
        <w:t>)</w:t>
      </w:r>
      <w:r w:rsidRPr="004D05D8">
        <w:rPr>
          <w:lang w:val="nl-NL"/>
        </w:rPr>
        <w:t xml:space="preserve"> medische prestaties gedurende een bepaalde </w:t>
      </w:r>
      <w:r w:rsidR="00DD0A62">
        <w:rPr>
          <w:lang w:val="nl-NL"/>
        </w:rPr>
        <w:t>periode</w:t>
      </w:r>
      <w:r w:rsidRPr="004D05D8">
        <w:rPr>
          <w:lang w:val="nl-NL"/>
        </w:rPr>
        <w:t xml:space="preserve"> ten laste te nemen. De medische kaart geeft de zorgverlener die zich aan de bepalingen van de medische kaart houdt, de zekerheid dat de kosten van de door hem verleende zorgen door het OCMW betaald zullen worden. Daardoor zal deze </w:t>
      </w:r>
      <w:r w:rsidRPr="004D05D8">
        <w:rPr>
          <w:lang w:val="nl-NL"/>
        </w:rPr>
        <w:lastRenderedPageBreak/>
        <w:t>zorgverlener minder geneigd zijn om patiënten te weigeren omdat hij vreest dat zij de kosten niet zullen kunnen betalen.</w:t>
      </w:r>
    </w:p>
    <w:p w14:paraId="0C17234A" w14:textId="77777777" w:rsidR="004D05D8" w:rsidRPr="004D05D8" w:rsidRDefault="004D05D8" w:rsidP="004D05D8">
      <w:pPr>
        <w:pStyle w:val="VVSGBodytekst"/>
        <w:rPr>
          <w:lang w:val="nl-NL"/>
        </w:rPr>
      </w:pPr>
    </w:p>
    <w:p w14:paraId="0712C83F" w14:textId="3C69A3EC" w:rsidR="00585B3B" w:rsidRDefault="004D05D8" w:rsidP="00AC794E">
      <w:pPr>
        <w:pStyle w:val="VVSGBodytekst"/>
        <w:rPr>
          <w:lang w:val="nl-NL"/>
        </w:rPr>
      </w:pPr>
      <w:r w:rsidRPr="004D05D8">
        <w:rPr>
          <w:lang w:val="nl-NL"/>
        </w:rPr>
        <w:t xml:space="preserve">De medische kaart kan </w:t>
      </w:r>
      <w:r w:rsidR="00585B3B">
        <w:rPr>
          <w:lang w:val="nl-NL"/>
        </w:rPr>
        <w:t>afgeleverd worden:</w:t>
      </w:r>
    </w:p>
    <w:p w14:paraId="03BF49FD" w14:textId="63D8A6CD" w:rsidR="00585B3B" w:rsidRPr="00585B3B" w:rsidRDefault="004D05D8" w:rsidP="00585B3B">
      <w:pPr>
        <w:pStyle w:val="VVSGBodyOpsom"/>
      </w:pPr>
      <w:r w:rsidRPr="004D05D8">
        <w:rPr>
          <w:lang w:val="nl-NL"/>
        </w:rPr>
        <w:t xml:space="preserve">naar aanleiding van </w:t>
      </w:r>
      <w:r w:rsidR="00AC794E">
        <w:rPr>
          <w:lang w:val="nl-NL"/>
        </w:rPr>
        <w:t xml:space="preserve">een hulpvraag bij </w:t>
      </w:r>
      <w:r w:rsidRPr="004D05D8">
        <w:rPr>
          <w:iCs/>
          <w:lang w:val="nl-NL"/>
        </w:rPr>
        <w:t xml:space="preserve">een </w:t>
      </w:r>
      <w:r w:rsidR="00011357">
        <w:rPr>
          <w:iCs/>
          <w:lang w:val="nl-NL"/>
        </w:rPr>
        <w:t>concret</w:t>
      </w:r>
      <w:r w:rsidR="00564DAA">
        <w:rPr>
          <w:iCs/>
          <w:lang w:val="nl-NL"/>
        </w:rPr>
        <w:t xml:space="preserve">e </w:t>
      </w:r>
      <w:r w:rsidR="00542939">
        <w:rPr>
          <w:iCs/>
          <w:lang w:val="nl-NL"/>
        </w:rPr>
        <w:t>zorgnood</w:t>
      </w:r>
      <w:r w:rsidR="00AC794E">
        <w:rPr>
          <w:lang w:val="nl-NL"/>
        </w:rPr>
        <w:t xml:space="preserve"> </w:t>
      </w:r>
      <w:r w:rsidR="00585B3B">
        <w:rPr>
          <w:lang w:val="nl-NL"/>
        </w:rPr>
        <w:t>(bijvoorbeeld hulpvraag i.v.m. de kosten van een zwangerschap of een geplande operatie)</w:t>
      </w:r>
      <w:r w:rsidR="00DA0FBE">
        <w:rPr>
          <w:lang w:val="nl-NL"/>
        </w:rPr>
        <w:t>. Hier kan</w:t>
      </w:r>
      <w:r w:rsidR="00DA0FBE" w:rsidRPr="00DA0FBE">
        <w:rPr>
          <w:lang w:val="nl-NL"/>
        </w:rPr>
        <w:t xml:space="preserve"> het probleem van de kosten van de eerste consultatie</w:t>
      </w:r>
      <w:r w:rsidR="002C3942">
        <w:rPr>
          <w:lang w:val="nl-NL"/>
        </w:rPr>
        <w:t xml:space="preserve"> </w:t>
      </w:r>
      <w:r w:rsidR="00DA0FBE" w:rsidRPr="00DA0FBE">
        <w:rPr>
          <w:lang w:val="nl-NL"/>
        </w:rPr>
        <w:t>zich stellen. Dit kan opgelost worden door ofwel een medische kaart specifiek voor een eerste consultatie af te leveren ofwel door met (zoveel mogelijk) zorgverleners een medische conventie af te sluiten</w:t>
      </w:r>
      <w:r w:rsidR="002C3942">
        <w:rPr>
          <w:lang w:val="nl-NL"/>
        </w:rPr>
        <w:t xml:space="preserve"> (zie </w:t>
      </w:r>
      <w:r w:rsidR="0002765F">
        <w:rPr>
          <w:lang w:val="nl-NL"/>
        </w:rPr>
        <w:t>punt 4</w:t>
      </w:r>
      <w:r w:rsidR="002C3942">
        <w:rPr>
          <w:lang w:val="nl-NL"/>
        </w:rPr>
        <w:t>).</w:t>
      </w:r>
    </w:p>
    <w:p w14:paraId="663CDA32" w14:textId="71CF5FB4" w:rsidR="00AC794E" w:rsidRPr="00AC794E" w:rsidRDefault="00AC794E" w:rsidP="00585B3B">
      <w:pPr>
        <w:pStyle w:val="VVSGBodyOpsom"/>
      </w:pPr>
      <w:r w:rsidRPr="00AC794E">
        <w:rPr>
          <w:iCs/>
        </w:rPr>
        <w:t xml:space="preserve">periodiek </w:t>
      </w:r>
      <w:r w:rsidR="00011357">
        <w:rPr>
          <w:iCs/>
        </w:rPr>
        <w:t xml:space="preserve">zonder concrete zorgnood </w:t>
      </w:r>
      <w:r w:rsidRPr="00AC794E">
        <w:t xml:space="preserve">bijvoorbeeld telkens voor 3 maanden. </w:t>
      </w:r>
      <w:r w:rsidR="00585B3B">
        <w:t xml:space="preserve">Als </w:t>
      </w:r>
      <w:r w:rsidRPr="00AC794E">
        <w:t xml:space="preserve">de </w:t>
      </w:r>
      <w:r w:rsidR="00585B3B">
        <w:t>hulpvrager</w:t>
      </w:r>
      <w:r w:rsidRPr="00AC794E">
        <w:t xml:space="preserve"> niet ziek wordt tijdens de gedekte periode, wordt de</w:t>
      </w:r>
      <w:r w:rsidR="00585B3B">
        <w:t xml:space="preserve"> medische</w:t>
      </w:r>
      <w:r w:rsidRPr="00AC794E">
        <w:t xml:space="preserve"> kaart niet effectief gebruikt. Als het OCMW kiest voor het periodiek afleveren van de medische kaart, moet het OCMW bij elke aflevering nagaan of het nog bevoegd is en of de hulpvrager nog recht heeft op de medische kaart. Bij deze medische kaarten stelt het probleem </w:t>
      </w:r>
      <w:r w:rsidR="00681710">
        <w:t>i.v.m.</w:t>
      </w:r>
      <w:r w:rsidRPr="00AC794E">
        <w:t xml:space="preserve"> de eerste consultatie zich niet.</w:t>
      </w:r>
    </w:p>
    <w:p w14:paraId="4E569635" w14:textId="77777777" w:rsidR="00AC794E" w:rsidRPr="004D05D8" w:rsidRDefault="00AC794E" w:rsidP="004D05D8">
      <w:pPr>
        <w:pStyle w:val="VVSGBodytekst"/>
        <w:rPr>
          <w:lang w:val="nl-NL"/>
        </w:rPr>
      </w:pPr>
    </w:p>
    <w:p w14:paraId="26BF05B4" w14:textId="55917647" w:rsidR="004D05D8" w:rsidRPr="004D05D8" w:rsidRDefault="004D05D8" w:rsidP="004D05D8">
      <w:pPr>
        <w:pStyle w:val="VVSGBodytekst"/>
        <w:rPr>
          <w:lang w:val="nl-NL"/>
        </w:rPr>
      </w:pPr>
      <w:r w:rsidRPr="004D05D8">
        <w:rPr>
          <w:lang w:val="nl-NL"/>
        </w:rPr>
        <w:t xml:space="preserve">Het OCMW kan op twee manieren bij de zorgverlening betrokken worden. </w:t>
      </w:r>
    </w:p>
    <w:p w14:paraId="094A93F9" w14:textId="5A931C2C" w:rsidR="004D05D8" w:rsidRPr="004D05D8" w:rsidRDefault="004D05D8" w:rsidP="003D3ABC">
      <w:pPr>
        <w:pStyle w:val="VVSGBodyOpsom"/>
      </w:pPr>
      <w:r w:rsidRPr="004D05D8">
        <w:t xml:space="preserve">Ofwel stapt de </w:t>
      </w:r>
      <w:r w:rsidR="00701CAC">
        <w:t>hulpvrager</w:t>
      </w:r>
      <w:r w:rsidRPr="004D05D8">
        <w:t xml:space="preserve"> </w:t>
      </w:r>
      <w:r w:rsidRPr="004D05D8">
        <w:rPr>
          <w:iCs/>
        </w:rPr>
        <w:t>vóór de zorgverlening</w:t>
      </w:r>
      <w:r w:rsidRPr="004D05D8">
        <w:t xml:space="preserve"> naar het OCMW</w:t>
      </w:r>
      <w:r w:rsidR="00D309F6">
        <w:t xml:space="preserve"> (of wordt de hulpvraag tijdens de zorgverlening gesteld)</w:t>
      </w:r>
      <w:r w:rsidRPr="004D05D8">
        <w:t xml:space="preserve">. Het OCMW kan aan de hand van een sociaal onderzoek nagaan of de </w:t>
      </w:r>
      <w:r w:rsidR="000B2BD0">
        <w:t>hulpvrager</w:t>
      </w:r>
      <w:r w:rsidRPr="004D05D8">
        <w:t xml:space="preserve"> recht heeft op de betaling van de medische kost</w:t>
      </w:r>
      <w:r w:rsidR="001E303E">
        <w:t>en</w:t>
      </w:r>
      <w:r w:rsidRPr="004D05D8">
        <w:t xml:space="preserve"> door het OCMW. </w:t>
      </w:r>
      <w:r w:rsidR="00F66FF2">
        <w:t>Als de hulpvrager</w:t>
      </w:r>
      <w:r w:rsidRPr="004D05D8">
        <w:t xml:space="preserve"> recht heeft op </w:t>
      </w:r>
      <w:r w:rsidR="001E303E">
        <w:t>een t</w:t>
      </w:r>
      <w:r w:rsidRPr="004D05D8">
        <w:t xml:space="preserve">ussenkomst, kan het OCMW een medische kaart afleveren. Het OCMW is meteen betrokken partij en kan de zorgverlening zelf eventueel nog sturen (bijv. medische kaart beperken tot generische geneesmiddelen of de </w:t>
      </w:r>
      <w:r w:rsidR="00023913">
        <w:t>hulpvrager</w:t>
      </w:r>
      <w:r w:rsidRPr="004D05D8">
        <w:t xml:space="preserve"> bij voorkeur doorverwijzen naar een zorgverlener die met het OCMW een medische conventie heeft gesloten</w:t>
      </w:r>
      <w:r w:rsidR="001E303E">
        <w:t>, zonder een verplichting op te leggen want de keuze van de arts is vrij</w:t>
      </w:r>
      <w:r w:rsidRPr="004D05D8">
        <w:t xml:space="preserve">). Ook kan het OCMW meteen het nodige doen om de eventuele terugbetaling van de kosten door de </w:t>
      </w:r>
      <w:r w:rsidR="00023913">
        <w:t xml:space="preserve">POD MI </w:t>
      </w:r>
      <w:r w:rsidRPr="004D05D8">
        <w:t>veilig te stellen</w:t>
      </w:r>
      <w:r w:rsidR="001E303E">
        <w:t xml:space="preserve"> (45dagentermijn)</w:t>
      </w:r>
      <w:r w:rsidRPr="004D05D8">
        <w:t xml:space="preserve">. Benadruk daarom bij elk contact met </w:t>
      </w:r>
      <w:r w:rsidR="00023913">
        <w:t>hulpvragers</w:t>
      </w:r>
      <w:r w:rsidRPr="004D05D8">
        <w:t xml:space="preserve"> en met zorgverleners dat zij het OCMW zo snel mogelijk </w:t>
      </w:r>
      <w:r w:rsidR="0058070F">
        <w:t>contacteren</w:t>
      </w:r>
      <w:r w:rsidRPr="004D05D8">
        <w:t>.</w:t>
      </w:r>
    </w:p>
    <w:p w14:paraId="0D1B792C" w14:textId="77777777" w:rsidR="004D05D8" w:rsidRPr="004D05D8" w:rsidRDefault="004D05D8" w:rsidP="004D05D8">
      <w:pPr>
        <w:pStyle w:val="VVSGBodytekst"/>
        <w:rPr>
          <w:lang w:val="nl-NL"/>
        </w:rPr>
      </w:pPr>
    </w:p>
    <w:p w14:paraId="72044BEC" w14:textId="364A67AC" w:rsidR="004D05D8" w:rsidRPr="004D05D8" w:rsidRDefault="004D05D8" w:rsidP="003D3ABC">
      <w:pPr>
        <w:pStyle w:val="VVSGBodyOpsom"/>
      </w:pPr>
      <w:r w:rsidRPr="004D05D8">
        <w:t xml:space="preserve">Ofwel stapt de </w:t>
      </w:r>
      <w:r w:rsidR="00023913">
        <w:t xml:space="preserve">hulpvrager </w:t>
      </w:r>
      <w:r w:rsidRPr="00023913">
        <w:rPr>
          <w:iCs/>
        </w:rPr>
        <w:t xml:space="preserve">achteraf </w:t>
      </w:r>
      <w:r w:rsidRPr="004D05D8">
        <w:t>met de rekening naar het OCMW</w:t>
      </w:r>
      <w:r w:rsidR="00E410A8">
        <w:t>.</w:t>
      </w:r>
      <w:r w:rsidRPr="004D05D8">
        <w:t xml:space="preserve"> Bij achteraf aangeboden rekeningen, rijzen er vaak discussies over het ten laste nemen van de kosten. Het OCMW kan bijvoorbeeld oordelen dat de </w:t>
      </w:r>
      <w:r w:rsidR="00EA580E">
        <w:t xml:space="preserve">hulpvrager </w:t>
      </w:r>
      <w:r w:rsidRPr="004D05D8">
        <w:t xml:space="preserve">niet behoeftig is en bijgevolg de rekening weigeren te betalen. Indien een rekening achteraf aan het OCMW wordt aangeboden, gaat het ook niet meer om een vraag naar het vrijwaren van de toegang tot de gezondheidszorg maar om een vraag naar financiële steun om een schuld uit het verleden te betalen. De Raad van State zegt hierover dat OCMW’s geen incassobureau zijn voor de schuldeisers van hun </w:t>
      </w:r>
      <w:r w:rsidR="00EA580E">
        <w:t>hulpvragers</w:t>
      </w:r>
      <w:r w:rsidR="00D852EA">
        <w:t xml:space="preserve"> en</w:t>
      </w:r>
      <w:r w:rsidRPr="004D05D8">
        <w:t xml:space="preserve"> dat bijgevolg alleen die schulden uit het verleden betaald moeten worden waarvan de niet-betaling de mogelijkheden van de </w:t>
      </w:r>
      <w:r w:rsidR="00D852EA">
        <w:t>hulpvrager</w:t>
      </w:r>
      <w:r w:rsidRPr="004D05D8">
        <w:t xml:space="preserve"> om menswaardig te leven in het gedrang brengt. Het niet betalen van rekeningen veroorzaakt natuurlijk problemen met de zorgverleners. Deze problemen kunnen vermeden worden door op voorhand afspraken te maken. Ofwel door zoveel mogelijk zorgverleners en </w:t>
      </w:r>
      <w:r w:rsidR="00D852EA">
        <w:t>hulpverleners</w:t>
      </w:r>
      <w:r w:rsidRPr="004D05D8">
        <w:t xml:space="preserve"> te informeren over het werken met een medische kaart. Ofwel door met zoveel mogelijk zorgverleners een medische conventie te sluiten.</w:t>
      </w:r>
    </w:p>
    <w:p w14:paraId="29E18CC1" w14:textId="77777777" w:rsidR="004D05D8" w:rsidRPr="004D05D8" w:rsidRDefault="004D05D8" w:rsidP="004D05D8">
      <w:pPr>
        <w:pStyle w:val="VVSGBodytekst"/>
        <w:rPr>
          <w:lang w:val="nl-NL"/>
        </w:rPr>
      </w:pPr>
    </w:p>
    <w:p w14:paraId="4CE190DE" w14:textId="3E239BC8" w:rsidR="004D05D8" w:rsidRPr="004D05D8" w:rsidRDefault="004D05D8" w:rsidP="004D05D8">
      <w:pPr>
        <w:pStyle w:val="VVSGBodytekst"/>
        <w:rPr>
          <w:lang w:val="nl-NL"/>
        </w:rPr>
      </w:pPr>
      <w:r w:rsidRPr="004D05D8">
        <w:rPr>
          <w:lang w:val="nl-NL"/>
        </w:rPr>
        <w:t xml:space="preserve">Een medische kaart is dus niet absoluut noodzakelijk. Elk OCMW moet individueel en autonoom beslissen of het met een medische kaart wil werken en zo ja, in welke situaties, voor welke patiënten enz. </w:t>
      </w:r>
    </w:p>
    <w:p w14:paraId="29E38A62" w14:textId="771C0C23" w:rsidR="004D05D8" w:rsidRPr="004D05D8" w:rsidRDefault="004D05D8" w:rsidP="00E410A8">
      <w:pPr>
        <w:pStyle w:val="VVSGTitel2"/>
        <w:rPr>
          <w:i/>
        </w:rPr>
      </w:pPr>
      <w:r w:rsidRPr="00E410A8">
        <w:t>Meerwaarde</w:t>
      </w:r>
      <w:r w:rsidR="00E410A8">
        <w:t xml:space="preserve"> van een medische kaart</w:t>
      </w:r>
    </w:p>
    <w:p w14:paraId="7F951C75" w14:textId="77777777" w:rsidR="00E410A8" w:rsidRDefault="004D05D8" w:rsidP="004D05D8">
      <w:pPr>
        <w:pStyle w:val="VVSGBodytekst"/>
        <w:rPr>
          <w:i/>
          <w:lang w:val="nl-NL"/>
        </w:rPr>
      </w:pPr>
      <w:r w:rsidRPr="004D05D8">
        <w:rPr>
          <w:i/>
          <w:lang w:val="nl-NL"/>
        </w:rPr>
        <w:tab/>
      </w:r>
    </w:p>
    <w:p w14:paraId="19409723" w14:textId="76E9BA18" w:rsidR="004D05D8" w:rsidRPr="00E410A8" w:rsidRDefault="004D05D8" w:rsidP="004D05D8">
      <w:pPr>
        <w:pStyle w:val="VVSGBodytekst"/>
        <w:rPr>
          <w:iCs/>
          <w:lang w:val="nl-NL"/>
        </w:rPr>
      </w:pPr>
      <w:r w:rsidRPr="00E410A8">
        <w:rPr>
          <w:iCs/>
          <w:lang w:val="nl-NL"/>
        </w:rPr>
        <w:t>Voor het OCMW</w:t>
      </w:r>
    </w:p>
    <w:p w14:paraId="5DF2E2C5" w14:textId="77777777" w:rsidR="004D05D8" w:rsidRPr="004D05D8" w:rsidRDefault="004D05D8" w:rsidP="00E410A8">
      <w:pPr>
        <w:pStyle w:val="VVSGBodyOpsom"/>
      </w:pPr>
      <w:r w:rsidRPr="004D05D8">
        <w:t>minder discussies met zorgverleners over het betalen van medische kosten want de medische kaart legt de spelregels vast</w:t>
      </w:r>
    </w:p>
    <w:p w14:paraId="49F27D3A" w14:textId="426394A8" w:rsidR="004D05D8" w:rsidRPr="004D05D8" w:rsidRDefault="004D05D8" w:rsidP="00E410A8">
      <w:pPr>
        <w:pStyle w:val="VVSGBodyOpsom"/>
      </w:pPr>
      <w:r w:rsidRPr="004D05D8">
        <w:t xml:space="preserve">afspraken die het OCMW in staat stellen de 45dagentermijn te respecteren waardoor het OCMW de kosten maximaal van de </w:t>
      </w:r>
      <w:r w:rsidR="0031716F">
        <w:t xml:space="preserve">POD MI </w:t>
      </w:r>
      <w:r w:rsidRPr="004D05D8">
        <w:t>kan terugvorderen</w:t>
      </w:r>
    </w:p>
    <w:p w14:paraId="76BAF5DB" w14:textId="467520D3" w:rsidR="004D05D8" w:rsidRPr="004D05D8" w:rsidRDefault="004D05D8" w:rsidP="00E410A8">
      <w:pPr>
        <w:pStyle w:val="VVSGBodyOpsom"/>
      </w:pPr>
      <w:r w:rsidRPr="004D05D8">
        <w:t xml:space="preserve">contact met bepaalde groepen </w:t>
      </w:r>
      <w:r w:rsidR="0031716F">
        <w:t>hulpvragers</w:t>
      </w:r>
      <w:r w:rsidRPr="004D05D8">
        <w:t xml:space="preserve"> herstellen of verstevigen (bijv. vreemdelingen zonder wettig verblijf)</w:t>
      </w:r>
    </w:p>
    <w:p w14:paraId="4FAED4F9" w14:textId="77777777" w:rsidR="004D05D8" w:rsidRPr="004D05D8" w:rsidRDefault="004D05D8" w:rsidP="004D05D8">
      <w:pPr>
        <w:pStyle w:val="VVSGBodytekst"/>
        <w:rPr>
          <w:lang w:val="nl-NL"/>
        </w:rPr>
      </w:pPr>
    </w:p>
    <w:p w14:paraId="012D2C80" w14:textId="77777777" w:rsidR="004D05D8" w:rsidRPr="00E410A8" w:rsidRDefault="004D05D8" w:rsidP="004D05D8">
      <w:pPr>
        <w:pStyle w:val="VVSGBodytekst"/>
        <w:rPr>
          <w:iCs/>
          <w:lang w:val="nl-NL"/>
        </w:rPr>
      </w:pPr>
      <w:r w:rsidRPr="00E410A8">
        <w:rPr>
          <w:iCs/>
          <w:lang w:val="nl-NL"/>
        </w:rPr>
        <w:t>Voor de zorgverlener</w:t>
      </w:r>
    </w:p>
    <w:p w14:paraId="3D10EE63" w14:textId="77777777" w:rsidR="004D05D8" w:rsidRPr="004D05D8" w:rsidRDefault="004D05D8" w:rsidP="00E410A8">
      <w:pPr>
        <w:pStyle w:val="VVSGBodyOpsom"/>
      </w:pPr>
      <w:r w:rsidRPr="004D05D8">
        <w:t>de zorgverlener die zich aan de richtlijnen in de medische kaart houdt, kan erop rekenen dat zijn kosten door het OCMW betaald worden</w:t>
      </w:r>
    </w:p>
    <w:p w14:paraId="4D96152C" w14:textId="77777777" w:rsidR="004D05D8" w:rsidRDefault="004D05D8" w:rsidP="00E410A8">
      <w:pPr>
        <w:pStyle w:val="VVSGBodyOpsom"/>
      </w:pPr>
      <w:r w:rsidRPr="004D05D8">
        <w:t>minder tijdverlies (en dus meer tijd voor de patiënt) voor de zorgverlener die duidelijke informatie krijgt alsook de gegevens van een contactpersoon, de zorgverlener moet dus niet zelf op zoek naar de te contacteren persoon, het adres voor het versturen van de rekening enz.</w:t>
      </w:r>
    </w:p>
    <w:p w14:paraId="3E450628" w14:textId="77777777" w:rsidR="00E410A8" w:rsidRPr="004D05D8" w:rsidRDefault="00E410A8" w:rsidP="00E410A8">
      <w:pPr>
        <w:pStyle w:val="VVSGBodyOpsom"/>
        <w:numPr>
          <w:ilvl w:val="0"/>
          <w:numId w:val="0"/>
        </w:numPr>
        <w:ind w:left="284"/>
      </w:pPr>
    </w:p>
    <w:p w14:paraId="11B709AF" w14:textId="38AFB86F" w:rsidR="004D05D8" w:rsidRPr="00E410A8" w:rsidRDefault="004D05D8" w:rsidP="004D05D8">
      <w:pPr>
        <w:pStyle w:val="VVSGBodytekst"/>
        <w:rPr>
          <w:iCs/>
          <w:lang w:val="nl-NL"/>
        </w:rPr>
      </w:pPr>
      <w:r w:rsidRPr="00E410A8">
        <w:rPr>
          <w:iCs/>
          <w:lang w:val="nl-NL"/>
        </w:rPr>
        <w:t xml:space="preserve">Voor de </w:t>
      </w:r>
      <w:r w:rsidR="003D3ABC" w:rsidRPr="00E410A8">
        <w:rPr>
          <w:iCs/>
          <w:lang w:val="nl-NL"/>
        </w:rPr>
        <w:t>hulpvrager</w:t>
      </w:r>
    </w:p>
    <w:p w14:paraId="35FB4A1A" w14:textId="0579CE62" w:rsidR="004D05D8" w:rsidRPr="004D05D8" w:rsidRDefault="004D05D8" w:rsidP="00E410A8">
      <w:pPr>
        <w:pStyle w:val="VVSGBodyOpsom"/>
      </w:pPr>
      <w:r w:rsidRPr="004D05D8">
        <w:t xml:space="preserve">er kan duidelijke informatie gegeven worden, de </w:t>
      </w:r>
      <w:r w:rsidR="003D3ABC">
        <w:t>hulpvrager</w:t>
      </w:r>
      <w:r w:rsidRPr="004D05D8">
        <w:t xml:space="preserve"> weet onder welke voorwaarden hij welke zorgen bij welke zorgverlener kan bekomen</w:t>
      </w:r>
    </w:p>
    <w:p w14:paraId="0B0038FD" w14:textId="63266CA9" w:rsidR="004D05D8" w:rsidRPr="00E410A8" w:rsidRDefault="004D05D8" w:rsidP="004D05D8">
      <w:pPr>
        <w:pStyle w:val="VVSGBodyOpsom"/>
      </w:pPr>
      <w:r w:rsidRPr="004D05D8">
        <w:t xml:space="preserve">geen problemen voor de patiënten omwille van hun </w:t>
      </w:r>
      <w:r w:rsidR="00241381">
        <w:t xml:space="preserve">beperkte </w:t>
      </w:r>
      <w:r w:rsidRPr="004D05D8">
        <w:t xml:space="preserve">financiële </w:t>
      </w:r>
      <w:r w:rsidR="00241381">
        <w:t>middelen</w:t>
      </w:r>
      <w:r w:rsidRPr="004D05D8">
        <w:t xml:space="preserve"> of onzekere verblijfsrecht </w:t>
      </w:r>
    </w:p>
    <w:p w14:paraId="2296EEF2" w14:textId="370D0C12" w:rsidR="004D05D8" w:rsidRPr="004D05D8" w:rsidRDefault="004D05D8" w:rsidP="00E410A8">
      <w:pPr>
        <w:pStyle w:val="VVSGTitel2"/>
      </w:pPr>
      <w:r w:rsidRPr="004D05D8">
        <w:t>Aandachtspunten</w:t>
      </w:r>
      <w:r w:rsidR="00B10BD1">
        <w:t xml:space="preserve"> inhoud medische kaart</w:t>
      </w:r>
    </w:p>
    <w:p w14:paraId="69BABC01" w14:textId="789C1164" w:rsidR="004D05D8" w:rsidRPr="004D05D8" w:rsidRDefault="004D05D8" w:rsidP="004D05D8">
      <w:pPr>
        <w:pStyle w:val="VVSGBodytekst"/>
        <w:rPr>
          <w:lang w:val="nl-NL"/>
        </w:rPr>
      </w:pPr>
      <w:r w:rsidRPr="004D05D8">
        <w:rPr>
          <w:lang w:val="nl-NL"/>
        </w:rPr>
        <w:t>Indien een medische kaart onvoldoende doordacht wordt afgeleverd, kan het een blanco cheque worden</w:t>
      </w:r>
      <w:r w:rsidR="008362F7">
        <w:rPr>
          <w:lang w:val="nl-NL"/>
        </w:rPr>
        <w:t>. Als</w:t>
      </w:r>
      <w:r w:rsidRPr="004D05D8">
        <w:rPr>
          <w:lang w:val="nl-NL"/>
        </w:rPr>
        <w:t xml:space="preserve"> er met medische kaarten gewerkt wordt, moet het OCMW zich op voorhand de vraag stellen welk beleid het lokaal wil voeren i.v.m. de toegang tot de gezondheidszorg voor </w:t>
      </w:r>
      <w:r w:rsidR="008362F7">
        <w:rPr>
          <w:lang w:val="nl-NL"/>
        </w:rPr>
        <w:t>hulpvragers</w:t>
      </w:r>
      <w:r w:rsidRPr="004D05D8">
        <w:rPr>
          <w:lang w:val="nl-NL"/>
        </w:rPr>
        <w:t>.</w:t>
      </w:r>
    </w:p>
    <w:p w14:paraId="3BCB6D19" w14:textId="77777777" w:rsidR="004D05D8" w:rsidRPr="004D05D8" w:rsidRDefault="004D05D8" w:rsidP="004D05D8">
      <w:pPr>
        <w:pStyle w:val="VVSGBodytekst"/>
        <w:rPr>
          <w:lang w:val="nl-NL"/>
        </w:rPr>
      </w:pPr>
    </w:p>
    <w:p w14:paraId="79DDA525" w14:textId="7C6F5B6B" w:rsidR="004D05D8" w:rsidRPr="004D05D8" w:rsidRDefault="004D05D8" w:rsidP="004D05D8">
      <w:pPr>
        <w:pStyle w:val="VVSGBodytekst"/>
        <w:rPr>
          <w:lang w:val="nl-NL"/>
        </w:rPr>
      </w:pPr>
      <w:r w:rsidRPr="004D05D8">
        <w:rPr>
          <w:lang w:val="nl-NL"/>
        </w:rPr>
        <w:t xml:space="preserve">Er is niet één model van een medische kaart. </w:t>
      </w:r>
      <w:r w:rsidRPr="00A16D79">
        <w:rPr>
          <w:bCs/>
          <w:lang w:val="nl-NL"/>
        </w:rPr>
        <w:t xml:space="preserve">Uiteindelijk gaat het in zo’n medische kaart om het </w:t>
      </w:r>
      <w:r w:rsidR="00B10BD1" w:rsidRPr="00A16D79">
        <w:rPr>
          <w:bCs/>
          <w:lang w:val="nl-NL"/>
        </w:rPr>
        <w:t>afbakene</w:t>
      </w:r>
      <w:r w:rsidRPr="00A16D79">
        <w:rPr>
          <w:bCs/>
          <w:lang w:val="nl-NL"/>
        </w:rPr>
        <w:t xml:space="preserve">n van de maatschappelijke dienstverlening (in casu het ten laste nemen van medische kosten) die aan een </w:t>
      </w:r>
      <w:r w:rsidR="00B10BD1" w:rsidRPr="00A16D79">
        <w:rPr>
          <w:bCs/>
          <w:lang w:val="nl-NL"/>
        </w:rPr>
        <w:t xml:space="preserve">hulpvrager </w:t>
      </w:r>
      <w:r w:rsidRPr="00A16D79">
        <w:rPr>
          <w:bCs/>
          <w:lang w:val="nl-NL"/>
        </w:rPr>
        <w:t xml:space="preserve">zal worden </w:t>
      </w:r>
      <w:r w:rsidR="00B10BD1" w:rsidRPr="00A16D79">
        <w:rPr>
          <w:bCs/>
          <w:lang w:val="nl-NL"/>
        </w:rPr>
        <w:t>toegekend</w:t>
      </w:r>
      <w:r w:rsidRPr="00A16D79">
        <w:rPr>
          <w:bCs/>
          <w:lang w:val="nl-NL"/>
        </w:rPr>
        <w:t xml:space="preserve"> en het komt aan elk OCMW toe om die af</w:t>
      </w:r>
      <w:r w:rsidR="00B10BD1" w:rsidRPr="00A16D79">
        <w:rPr>
          <w:bCs/>
          <w:lang w:val="nl-NL"/>
        </w:rPr>
        <w:t>bakening</w:t>
      </w:r>
      <w:r w:rsidRPr="00A16D79">
        <w:rPr>
          <w:bCs/>
          <w:lang w:val="nl-NL"/>
        </w:rPr>
        <w:t xml:space="preserve"> autonoom te maken</w:t>
      </w:r>
      <w:r w:rsidRPr="004D05D8">
        <w:rPr>
          <w:b/>
          <w:lang w:val="nl-NL"/>
        </w:rPr>
        <w:t>.</w:t>
      </w:r>
      <w:r w:rsidRPr="004D05D8">
        <w:rPr>
          <w:lang w:val="nl-NL"/>
        </w:rPr>
        <w:t xml:space="preserve"> </w:t>
      </w:r>
    </w:p>
    <w:p w14:paraId="47156FAF" w14:textId="77777777" w:rsidR="004D05D8" w:rsidRPr="004D05D8" w:rsidRDefault="004D05D8" w:rsidP="004D05D8">
      <w:pPr>
        <w:pStyle w:val="VVSGBodytekst"/>
        <w:rPr>
          <w:lang w:val="nl-NL"/>
        </w:rPr>
      </w:pPr>
    </w:p>
    <w:p w14:paraId="7535CAC0" w14:textId="77777777" w:rsidR="004D05D8" w:rsidRPr="00A16D79" w:rsidRDefault="004D05D8" w:rsidP="00A16D79">
      <w:pPr>
        <w:pStyle w:val="VVSGTitel3"/>
      </w:pPr>
      <w:r w:rsidRPr="00A16D79">
        <w:t>Wat moet er zeker in?</w:t>
      </w:r>
    </w:p>
    <w:p w14:paraId="33D1DF77" w14:textId="77777777" w:rsidR="00071F2B" w:rsidRDefault="00071F2B" w:rsidP="00071F2B">
      <w:pPr>
        <w:pStyle w:val="VVSGBodytekst"/>
        <w:ind w:left="720"/>
        <w:rPr>
          <w:lang w:val="nl-NL"/>
        </w:rPr>
      </w:pPr>
    </w:p>
    <w:p w14:paraId="1C75D5F2" w14:textId="266D7AE8" w:rsidR="004D05D8" w:rsidRPr="004D05D8" w:rsidRDefault="004D05D8" w:rsidP="00071F2B">
      <w:pPr>
        <w:pStyle w:val="VVSGBodyOpsom"/>
      </w:pPr>
      <w:r w:rsidRPr="004D05D8">
        <w:t>gegevens van het OCMW</w:t>
      </w:r>
    </w:p>
    <w:p w14:paraId="6F9D576A" w14:textId="7C6240C8" w:rsidR="004D05D8" w:rsidRPr="004D05D8" w:rsidRDefault="004D05D8" w:rsidP="00071F2B">
      <w:pPr>
        <w:pStyle w:val="VVSGBodyOpsom"/>
      </w:pPr>
      <w:r w:rsidRPr="004D05D8">
        <w:t xml:space="preserve">gegevens van de </w:t>
      </w:r>
      <w:r w:rsidR="00C06CDA">
        <w:t>titularis</w:t>
      </w:r>
      <w:r w:rsidRPr="004D05D8">
        <w:t xml:space="preserve"> van de medische kaart (naam, adres, ...)</w:t>
      </w:r>
    </w:p>
    <w:p w14:paraId="022F67AF" w14:textId="1A832F78" w:rsidR="004D05D8" w:rsidRPr="004D05D8" w:rsidRDefault="004D05D8" w:rsidP="00071F2B">
      <w:pPr>
        <w:pStyle w:val="VVSGBodyOpsom"/>
      </w:pPr>
      <w:r w:rsidRPr="004D05D8">
        <w:t xml:space="preserve">gegevens van de andere begunstigden dan de </w:t>
      </w:r>
      <w:r w:rsidR="00C06CDA">
        <w:t xml:space="preserve">titularis </w:t>
      </w:r>
      <w:r w:rsidRPr="004D05D8">
        <w:t xml:space="preserve">van de medische kaart (voor minderjarige kinderen, elke volwassene krijgt </w:t>
      </w:r>
      <w:r w:rsidR="00C06CDA">
        <w:t>een</w:t>
      </w:r>
      <w:r w:rsidRPr="004D05D8">
        <w:t xml:space="preserve"> eigen medische kaart)</w:t>
      </w:r>
    </w:p>
    <w:p w14:paraId="6FA966E2" w14:textId="3248F0B6" w:rsidR="004D05D8" w:rsidRPr="004D05D8" w:rsidRDefault="004D05D8" w:rsidP="00071F2B">
      <w:pPr>
        <w:pStyle w:val="VVSGBodyOpsom"/>
      </w:pPr>
      <w:r w:rsidRPr="004D05D8">
        <w:lastRenderedPageBreak/>
        <w:t>(verblijfs</w:t>
      </w:r>
      <w:r w:rsidR="00733A63">
        <w:t>-</w:t>
      </w:r>
      <w:r w:rsidRPr="004D05D8">
        <w:t xml:space="preserve">)documenten die ter identificatie aanvaard mogen worden, een </w:t>
      </w:r>
      <w:r w:rsidRPr="004D05D8">
        <w:rPr>
          <w:b/>
          <w:i/>
        </w:rPr>
        <w:t>goede praktijk</w:t>
      </w:r>
      <w:r w:rsidRPr="004D05D8">
        <w:t xml:space="preserve"> is het werken met een </w:t>
      </w:r>
      <w:r w:rsidRPr="004D05D8">
        <w:rPr>
          <w:b/>
          <w:i/>
        </w:rPr>
        <w:t xml:space="preserve">identificatiepas: </w:t>
      </w:r>
      <w:r w:rsidRPr="004D05D8">
        <w:t>een eenvoudig geplastificeerd kaartje met foto en vermelding van “medische kaart”, de contactgegevens van het OCMW en een stempel voor de authenticiteit</w:t>
      </w:r>
    </w:p>
    <w:p w14:paraId="50DCE2CA" w14:textId="0DA5EC62" w:rsidR="004D05D8" w:rsidRPr="004D05D8" w:rsidRDefault="004D05D8" w:rsidP="00071F2B">
      <w:pPr>
        <w:pStyle w:val="VVSGBodyOpsom"/>
      </w:pPr>
      <w:r w:rsidRPr="004D05D8">
        <w:t xml:space="preserve">contactgegevens van de maatschappelijke werker voor </w:t>
      </w:r>
      <w:r w:rsidR="00E67F6D">
        <w:t xml:space="preserve">eventuele verdere </w:t>
      </w:r>
      <w:r w:rsidRPr="004D05D8">
        <w:t>inlichtingen</w:t>
      </w:r>
    </w:p>
    <w:p w14:paraId="44F54583" w14:textId="5938734B" w:rsidR="004D05D8" w:rsidRPr="004D05D8" w:rsidRDefault="004D05D8" w:rsidP="00071F2B">
      <w:pPr>
        <w:pStyle w:val="VVSGBodyOpsom"/>
      </w:pPr>
      <w:r w:rsidRPr="004D05D8">
        <w:t>contactgegevens voor verzending van de stukken (medisch attest, rekening,</w:t>
      </w:r>
      <w:r w:rsidR="00733A63">
        <w:t xml:space="preserve"> </w:t>
      </w:r>
      <w:r w:rsidRPr="004D05D8">
        <w:t>…)</w:t>
      </w:r>
    </w:p>
    <w:p w14:paraId="10787C2C" w14:textId="21290A89" w:rsidR="004D05D8" w:rsidRPr="004D05D8" w:rsidRDefault="004D05D8" w:rsidP="00071F2B">
      <w:pPr>
        <w:pStyle w:val="VVSGBodyOpsom"/>
      </w:pPr>
      <w:r w:rsidRPr="004D05D8">
        <w:t>termijn voor en wijze van verwittigen van het OCMW (45dagentermijn)</w:t>
      </w:r>
    </w:p>
    <w:p w14:paraId="794065B1" w14:textId="73AB6B73" w:rsidR="004D05D8" w:rsidRPr="004D05D8" w:rsidRDefault="004D05D8" w:rsidP="00071F2B">
      <w:pPr>
        <w:pStyle w:val="VVSGBodyOpsom"/>
      </w:pPr>
      <w:r w:rsidRPr="004D05D8">
        <w:t xml:space="preserve">termijn </w:t>
      </w:r>
      <w:r w:rsidR="00823B01">
        <w:t>voor versturen van</w:t>
      </w:r>
      <w:r w:rsidRPr="004D05D8">
        <w:t xml:space="preserve"> het medisch attest (poststempel geldt als bewijs)</w:t>
      </w:r>
    </w:p>
    <w:p w14:paraId="368A42F8" w14:textId="24B00B7F" w:rsidR="004D05D8" w:rsidRPr="004D05D8" w:rsidRDefault="004D05D8" w:rsidP="00071F2B">
      <w:pPr>
        <w:pStyle w:val="VVSGBodyOpsom"/>
      </w:pPr>
      <w:r w:rsidRPr="004D05D8">
        <w:t>termijn waarbinnen de rekening moet worden bezorgd (OCMW moet binnen de 12 maanden terugvorderen van de Staat) en met welke vermeldingen (rekeningnummer zorgverlener, RIZIV</w:t>
      </w:r>
      <w:r w:rsidR="0032510A">
        <w:t>-</w:t>
      </w:r>
      <w:r w:rsidRPr="004D05D8">
        <w:t>nummer zorgverlener,</w:t>
      </w:r>
      <w:r w:rsidR="0032510A">
        <w:t xml:space="preserve"> </w:t>
      </w:r>
      <w:r w:rsidRPr="004D05D8">
        <w:t>…)</w:t>
      </w:r>
    </w:p>
    <w:p w14:paraId="7137EDBF" w14:textId="21CC69D4" w:rsidR="004D05D8" w:rsidRPr="004D05D8" w:rsidRDefault="004D05D8" w:rsidP="00071F2B">
      <w:pPr>
        <w:pStyle w:val="VVSGBodyOpsom"/>
      </w:pPr>
      <w:r w:rsidRPr="004D05D8">
        <w:t xml:space="preserve">modaliteiten van de betaling door het OCMW, </w:t>
      </w:r>
      <w:r w:rsidR="0081192D">
        <w:t xml:space="preserve">onder meer </w:t>
      </w:r>
      <w:r w:rsidRPr="004D05D8">
        <w:t>binnen welke termijn de zorgverlener de betaling mag verwachten (bijvoorbeeld 60 dagen)</w:t>
      </w:r>
    </w:p>
    <w:p w14:paraId="09A8A76F" w14:textId="77777777" w:rsidR="004D05D8" w:rsidRPr="004D05D8" w:rsidRDefault="004D05D8" w:rsidP="00071F2B">
      <w:pPr>
        <w:pStyle w:val="VVSGBodyOpsom"/>
      </w:pPr>
      <w:r w:rsidRPr="004D05D8">
        <w:t xml:space="preserve">datum van afgifte </w:t>
      </w:r>
    </w:p>
    <w:p w14:paraId="262C084B" w14:textId="39D44914" w:rsidR="004D05D8" w:rsidRPr="004D05D8" w:rsidRDefault="004D05D8" w:rsidP="00071F2B">
      <w:pPr>
        <w:pStyle w:val="VVSGBodyOpsom"/>
      </w:pPr>
      <w:r w:rsidRPr="0032510A">
        <w:rPr>
          <w:bCs/>
        </w:rPr>
        <w:t>geldigheidsduur van de medische kaart</w:t>
      </w:r>
      <w:r w:rsidRPr="004D05D8">
        <w:t xml:space="preserve">: De bevoegdheid van het OCMW </w:t>
      </w:r>
      <w:r w:rsidR="00C2151C">
        <w:t xml:space="preserve">of het recht op OCMW-dienstverlening van de hulpvrager </w:t>
      </w:r>
      <w:r w:rsidRPr="004D05D8">
        <w:t>kan wijzigen. Daarom beperken de OCMW’s de geldigheidsduur van de medische kaart. Het afleveren van een medische kaart</w:t>
      </w:r>
      <w:r w:rsidR="00364656">
        <w:t xml:space="preserve"> met een erg beperkte duur</w:t>
      </w:r>
      <w:r w:rsidRPr="004D05D8">
        <w:t xml:space="preserve"> brengt een </w:t>
      </w:r>
      <w:r w:rsidR="00FF4227">
        <w:t>bijkomende</w:t>
      </w:r>
      <w:r w:rsidRPr="004D05D8">
        <w:t xml:space="preserve"> werklast voor het OCMW met zich mee. </w:t>
      </w:r>
      <w:r w:rsidR="00364656">
        <w:t>Er moet steeds een sociaal onderzoek gebeuren en er moet een beslissing genomen worden. De hulpvrager moet ook telkens weer langskomen</w:t>
      </w:r>
      <w:r w:rsidRPr="004D05D8">
        <w:t xml:space="preserve">. </w:t>
      </w:r>
      <w:r w:rsidR="00221C56">
        <w:t>Een medische kaart per 3 maande</w:t>
      </w:r>
      <w:r w:rsidR="00FF4227">
        <w:t xml:space="preserve">n kan een </w:t>
      </w:r>
      <w:r w:rsidR="008B31AF">
        <w:t>vertrekpunt zijn.</w:t>
      </w:r>
    </w:p>
    <w:p w14:paraId="0246FD37" w14:textId="6E53F75E" w:rsidR="004D05D8" w:rsidRPr="004D05D8" w:rsidRDefault="00364656" w:rsidP="00071F2B">
      <w:pPr>
        <w:pStyle w:val="VVSGBodyOpsom"/>
      </w:pPr>
      <w:r>
        <w:t>de gedekte</w:t>
      </w:r>
      <w:r w:rsidR="004D05D8" w:rsidRPr="004D05D8">
        <w:t xml:space="preserve"> prestaties: het OCMW kan de verbintenis aangaan voor bepaalde prestaties (bijv. alleen prestaties met een (pseudo</w:t>
      </w:r>
      <w:r>
        <w:t>-</w:t>
      </w:r>
      <w:r w:rsidR="004D05D8" w:rsidRPr="004D05D8">
        <w:t>)</w:t>
      </w:r>
      <w:r w:rsidRPr="004D05D8">
        <w:t>Rizivnomenclatuurnummer</w:t>
      </w:r>
      <w:r w:rsidR="004D05D8" w:rsidRPr="004D05D8">
        <w:t>) en kan ook bepaalde prestaties uitdrukkelijk uitsluiten, er kan bepaald worden dat het OCMW voorafgaandelijk gecontacteerd moet worden als de zorgverlener toch uitgesloten prestaties wil verstrekken, de te volgen werkwijze moet in dat geval vermeld worden</w:t>
      </w:r>
    </w:p>
    <w:p w14:paraId="766BDDDC" w14:textId="3351D1D9" w:rsidR="00235A53" w:rsidRPr="00C13CF4" w:rsidRDefault="004D05D8" w:rsidP="00C13CF4">
      <w:pPr>
        <w:pStyle w:val="VVSGBodyOpsom"/>
      </w:pPr>
      <w:r w:rsidRPr="00235A53">
        <w:t xml:space="preserve">een attest dringende medische hulp is noodzakelijk indien de medische kaart aanduidt dat betrokkene illegaal in het land verblijft </w:t>
      </w:r>
    </w:p>
    <w:p w14:paraId="4D87A90A" w14:textId="77777777" w:rsidR="004D05D8" w:rsidRPr="00235A53" w:rsidRDefault="004D05D8" w:rsidP="00235A53">
      <w:pPr>
        <w:pStyle w:val="VVSGTitel3"/>
      </w:pPr>
      <w:r w:rsidRPr="00235A53">
        <w:t>Wat wordt best vermeld om discussies te vermijden?</w:t>
      </w:r>
    </w:p>
    <w:p w14:paraId="686CB999" w14:textId="77777777" w:rsidR="004D05D8" w:rsidRPr="004D05D8" w:rsidRDefault="004D05D8" w:rsidP="004D05D8">
      <w:pPr>
        <w:pStyle w:val="VVSGBodytekst"/>
        <w:rPr>
          <w:i/>
          <w:lang w:val="nl-NL"/>
        </w:rPr>
      </w:pPr>
    </w:p>
    <w:p w14:paraId="2E192209" w14:textId="04C5CD23" w:rsidR="004D05D8" w:rsidRPr="004D05D8" w:rsidRDefault="00C47943" w:rsidP="00C13CF4">
      <w:pPr>
        <w:pStyle w:val="VVSGBodyOpsom"/>
      </w:pPr>
      <w:r>
        <w:t>bepalen van het type</w:t>
      </w:r>
      <w:r w:rsidR="004D05D8" w:rsidRPr="004D05D8">
        <w:t xml:space="preserve"> zorgverleners waarvoor medische kaart geldig is (huisarts, specialist, tandarts ...)</w:t>
      </w:r>
      <w:r>
        <w:t>:</w:t>
      </w:r>
      <w:r w:rsidR="004D05D8" w:rsidRPr="004D05D8">
        <w:t xml:space="preserve"> </w:t>
      </w:r>
      <w:r>
        <w:t>er</w:t>
      </w:r>
      <w:r w:rsidR="004D05D8" w:rsidRPr="004D05D8">
        <w:t xml:space="preserve"> kan bijvoorbeeld vermeld worden dat er voor prestaties van tandartsen steeds uitdrukkelijk contact moet worden opgenomen met het OCMW</w:t>
      </w:r>
    </w:p>
    <w:p w14:paraId="153B8BFD" w14:textId="7BE75C35" w:rsidR="004D05D8" w:rsidRPr="004D05D8" w:rsidRDefault="004D05D8" w:rsidP="00C13CF4">
      <w:pPr>
        <w:pStyle w:val="VVSGBodyOpsom"/>
      </w:pPr>
      <w:r w:rsidRPr="004D05D8">
        <w:t>is de medische kaart geldig voor de voorschriften van de zorgverleners (medicatie, kine</w:t>
      </w:r>
      <w:r w:rsidR="00B00D8C">
        <w:t>sit</w:t>
      </w:r>
      <w:r w:rsidRPr="004D05D8">
        <w:t>, …)</w:t>
      </w:r>
    </w:p>
    <w:p w14:paraId="28761EC9" w14:textId="77777777" w:rsidR="004D05D8" w:rsidRPr="004D05D8" w:rsidRDefault="004D05D8" w:rsidP="00C13CF4">
      <w:pPr>
        <w:pStyle w:val="VVSGBodyOpsom"/>
      </w:pPr>
      <w:r w:rsidRPr="004D05D8">
        <w:t>welke medicatie wordt ten laste genomen (categorie D, magistrale bereidingen, …)</w:t>
      </w:r>
    </w:p>
    <w:p w14:paraId="5687CF7F" w14:textId="55C0E94B" w:rsidR="004D05D8" w:rsidRPr="004D05D8" w:rsidRDefault="004D05D8" w:rsidP="00C13CF4">
      <w:pPr>
        <w:pStyle w:val="VVSGBodyOpsom"/>
      </w:pPr>
      <w:r w:rsidRPr="004D05D8">
        <w:t xml:space="preserve">een voorschrift voor geneesmiddelen moet dringende medische hulp </w:t>
      </w:r>
      <w:r w:rsidR="00B00D8C">
        <w:t>vermelden als</w:t>
      </w:r>
      <w:r w:rsidRPr="004D05D8">
        <w:t xml:space="preserve"> de medische kaart aanduidt dat betrokkene illegaal in het land verblijft</w:t>
      </w:r>
    </w:p>
    <w:p w14:paraId="08283C55" w14:textId="0EEFEDCE" w:rsidR="004D05D8" w:rsidRPr="00BA38A2" w:rsidRDefault="004D05D8" w:rsidP="004D05D8">
      <w:pPr>
        <w:pStyle w:val="VVSGBodyOpsom"/>
        <w:rPr>
          <w:lang w:val="nl-NL"/>
        </w:rPr>
      </w:pPr>
      <w:r w:rsidRPr="004D05D8">
        <w:t>informatie over de situatie in de ziekteverzekering: ziekteverzekerd of niet, contactgegevens bevoegd  ziekenfonds, aansluitingsnummer, derdebetalersregeling of niet, …</w:t>
      </w:r>
    </w:p>
    <w:p w14:paraId="0A9F4DAB" w14:textId="77777777" w:rsidR="004D05D8" w:rsidRPr="008B7A00" w:rsidRDefault="004D05D8" w:rsidP="008B7A00">
      <w:pPr>
        <w:pStyle w:val="VVSGTitel3"/>
      </w:pPr>
      <w:r w:rsidRPr="008B7A00">
        <w:t>Wat kan er nog in?</w:t>
      </w:r>
    </w:p>
    <w:p w14:paraId="1C7342DC" w14:textId="77777777" w:rsidR="004D05D8" w:rsidRPr="004D05D8" w:rsidRDefault="004D05D8" w:rsidP="004D05D8">
      <w:pPr>
        <w:pStyle w:val="VVSGBodytekst"/>
        <w:rPr>
          <w:lang w:val="nl-NL"/>
        </w:rPr>
      </w:pPr>
    </w:p>
    <w:p w14:paraId="699961FC" w14:textId="77777777" w:rsidR="00665819" w:rsidRDefault="004D05D8" w:rsidP="00BA38A2">
      <w:pPr>
        <w:pStyle w:val="VVSGBodyOpsom"/>
      </w:pPr>
      <w:r w:rsidRPr="004D05D8">
        <w:t>verwijzing naar eventuele medische conventie</w:t>
      </w:r>
    </w:p>
    <w:p w14:paraId="183A08CB" w14:textId="77AD7DA2" w:rsidR="004D05D8" w:rsidRPr="004D05D8" w:rsidRDefault="004D05D8" w:rsidP="00BA38A2">
      <w:pPr>
        <w:pStyle w:val="VVSGBodyOpsom"/>
      </w:pPr>
      <w:r w:rsidRPr="004D05D8">
        <w:t xml:space="preserve">vraag </w:t>
      </w:r>
      <w:r w:rsidR="00665819">
        <w:t>om</w:t>
      </w:r>
      <w:r w:rsidRPr="004D05D8">
        <w:t xml:space="preserve"> generische medicatie</w:t>
      </w:r>
      <w:r w:rsidR="00665819">
        <w:t xml:space="preserve"> voor te schrijven</w:t>
      </w:r>
    </w:p>
    <w:p w14:paraId="34D212E4" w14:textId="77777777" w:rsidR="004D05D8" w:rsidRPr="004D05D8" w:rsidRDefault="004D05D8" w:rsidP="004D05D8">
      <w:pPr>
        <w:pStyle w:val="VVSGBodytekst"/>
        <w:rPr>
          <w:lang w:val="nl-NL"/>
        </w:rPr>
      </w:pPr>
    </w:p>
    <w:p w14:paraId="31674378" w14:textId="77777777" w:rsidR="004D05D8" w:rsidRPr="004D05D8" w:rsidRDefault="004D05D8" w:rsidP="004D6A24">
      <w:pPr>
        <w:pStyle w:val="VVSGTitel3"/>
      </w:pPr>
      <w:r w:rsidRPr="004D05D8">
        <w:t>Dringende medische hulp: specifieke elementen</w:t>
      </w:r>
    </w:p>
    <w:p w14:paraId="61941E0B" w14:textId="77777777" w:rsidR="004D05D8" w:rsidRPr="004D05D8" w:rsidRDefault="004D05D8" w:rsidP="004D05D8">
      <w:pPr>
        <w:pStyle w:val="VVSGBodytekst"/>
        <w:rPr>
          <w:lang w:val="nl-NL"/>
        </w:rPr>
      </w:pPr>
    </w:p>
    <w:p w14:paraId="5B09AAD6" w14:textId="77777777" w:rsidR="004D05D8" w:rsidRPr="004D05D8" w:rsidRDefault="004D05D8" w:rsidP="004D05D8">
      <w:pPr>
        <w:pStyle w:val="VVSGBodytekst"/>
        <w:rPr>
          <w:lang w:val="nl-NL"/>
        </w:rPr>
      </w:pPr>
      <w:r w:rsidRPr="004D05D8">
        <w:rPr>
          <w:lang w:val="nl-NL"/>
        </w:rPr>
        <w:t>Op elke medische kaart en in elke medische conventie wordt zo duidelijk mogelijk vermeld dat een attest dringende medische hulp vereist is wanneer deze regeling wordt toegepast. Per prestatie, per farmaceutische verstrekking of per behandelingsreeks (voortvloeiend uit één feit) moet er een dergelijk attest voorhanden zijn in het dossier van het OCMW. Op de voorschriften voor geneesmiddelen moet ook de vermelding ‘dringende medische hulp’ staan met de stempel van de zorgverlener.</w:t>
      </w:r>
    </w:p>
    <w:p w14:paraId="1CEBB779" w14:textId="77777777" w:rsidR="004D05D8" w:rsidRPr="004D05D8" w:rsidRDefault="004D05D8" w:rsidP="004D05D8">
      <w:pPr>
        <w:pStyle w:val="VVSGBodytekst"/>
        <w:rPr>
          <w:lang w:val="nl-NL"/>
        </w:rPr>
      </w:pPr>
      <w:r w:rsidRPr="004D05D8">
        <w:rPr>
          <w:lang w:val="nl-NL"/>
        </w:rPr>
        <w:t>Indien een behandelingsreeks zich over meerdere maanden uitstrekt, moet het OCMW per maand een kopie van het attest dringende medische hulp in het dossier bij de rekeningen bijhouden.</w:t>
      </w:r>
    </w:p>
    <w:p w14:paraId="19EA6DBB" w14:textId="77777777" w:rsidR="004D05D8" w:rsidRPr="004D05D8" w:rsidRDefault="004D05D8" w:rsidP="004D05D8">
      <w:pPr>
        <w:pStyle w:val="VVSGBodytekst"/>
        <w:rPr>
          <w:lang w:val="nl-NL"/>
        </w:rPr>
      </w:pPr>
      <w:r w:rsidRPr="004D05D8">
        <w:rPr>
          <w:lang w:val="nl-NL"/>
        </w:rPr>
        <w:t xml:space="preserve"> </w:t>
      </w:r>
    </w:p>
    <w:p w14:paraId="5180716E" w14:textId="77777777" w:rsidR="004D05D8" w:rsidRPr="004D05D8" w:rsidRDefault="004D05D8" w:rsidP="004D05D8">
      <w:pPr>
        <w:pStyle w:val="VVSGBodytekst"/>
        <w:rPr>
          <w:u w:val="single"/>
          <w:lang w:val="nl-NL"/>
        </w:rPr>
      </w:pPr>
      <w:r w:rsidRPr="004D05D8">
        <w:rPr>
          <w:u w:val="single"/>
          <w:lang w:val="nl-NL"/>
        </w:rPr>
        <w:t>Bijvoorbeeld</w:t>
      </w:r>
    </w:p>
    <w:p w14:paraId="478C6246" w14:textId="77777777" w:rsidR="004D05D8" w:rsidRPr="004D05D8" w:rsidRDefault="004D05D8" w:rsidP="004D05D8">
      <w:pPr>
        <w:pStyle w:val="VVSGBodytekst"/>
        <w:rPr>
          <w:lang w:val="nl-NL"/>
        </w:rPr>
      </w:pPr>
      <w:r w:rsidRPr="004D05D8">
        <w:rPr>
          <w:lang w:val="nl-NL"/>
        </w:rPr>
        <w:t>Een arts schrijft 30 behandelingen bij de kinesist voor en die worden gedurende 3 maanden gegeven.</w:t>
      </w:r>
    </w:p>
    <w:p w14:paraId="5C059398" w14:textId="356E8D0E" w:rsidR="004D05D8" w:rsidRPr="004D05D8" w:rsidRDefault="004D05D8" w:rsidP="004D05D8">
      <w:pPr>
        <w:pStyle w:val="VVSGBodytekst"/>
        <w:rPr>
          <w:lang w:val="nl-NL"/>
        </w:rPr>
      </w:pPr>
      <w:r w:rsidRPr="004D05D8">
        <w:rPr>
          <w:lang w:val="nl-NL"/>
        </w:rPr>
        <w:t xml:space="preserve">Indien er per maand een rekening komt, moet er per maand een attest bij de rekening gevoegd worden. Indien er twee rekeningen per maand komen, volstaat het om één attest in het dossier bij de twee rekeningen bij te houden. </w:t>
      </w:r>
    </w:p>
    <w:p w14:paraId="48F8F83A" w14:textId="77777777" w:rsidR="004D05D8" w:rsidRPr="004D05D8" w:rsidRDefault="004D05D8" w:rsidP="004D6A24">
      <w:pPr>
        <w:pStyle w:val="VVSGTitel1"/>
      </w:pPr>
      <w:r w:rsidRPr="004D05D8">
        <w:t xml:space="preserve">Medische conventie </w:t>
      </w:r>
    </w:p>
    <w:p w14:paraId="12579D98" w14:textId="77777777" w:rsidR="004D05D8" w:rsidRPr="004D05D8" w:rsidRDefault="004D05D8" w:rsidP="004D05D8">
      <w:pPr>
        <w:pStyle w:val="VVSGBodytekst"/>
        <w:rPr>
          <w:lang w:val="nl-NL"/>
        </w:rPr>
      </w:pPr>
    </w:p>
    <w:p w14:paraId="46457F80" w14:textId="2EC52127" w:rsidR="004D05D8" w:rsidRPr="004D05D8" w:rsidRDefault="004D05D8" w:rsidP="004D05D8">
      <w:pPr>
        <w:pStyle w:val="VVSGBodytekst"/>
        <w:rPr>
          <w:lang w:val="nl-NL"/>
        </w:rPr>
      </w:pPr>
      <w:r w:rsidRPr="004D05D8">
        <w:rPr>
          <w:lang w:val="nl-NL"/>
        </w:rPr>
        <w:t xml:space="preserve">Door een medische conventie af te sluiten met (zoveel mogelijk) zorgverleners op het grondgebied, of zelfs daarbuiten, kan een OCMW in ruimere mate dan met de medische kaart een beleid inzake de toegang tot de gezondheidszorg voeren. Het OCMW kan meer sturend optreden door met de zorgverleners af te spreken om bijvoorbeeld steeds generische geneesmiddelen voor te schrijven. Het OCMW kan ook met de zorgverleners afspreken welke behandelingen of medicijnen zonder </w:t>
      </w:r>
      <w:r w:rsidR="0035726E" w:rsidRPr="004D05D8">
        <w:rPr>
          <w:lang w:val="nl-NL"/>
        </w:rPr>
        <w:t>Rizivnomenclatuurnummer</w:t>
      </w:r>
      <w:r w:rsidRPr="004D05D8">
        <w:rPr>
          <w:lang w:val="nl-NL"/>
        </w:rPr>
        <w:t xml:space="preserve"> (waarvan de kosten dus niet teruggevorderd kunnen worden van de </w:t>
      </w:r>
      <w:r w:rsidR="0035726E">
        <w:rPr>
          <w:lang w:val="nl-NL"/>
        </w:rPr>
        <w:t>POD MI</w:t>
      </w:r>
      <w:r w:rsidRPr="004D05D8">
        <w:rPr>
          <w:lang w:val="nl-NL"/>
        </w:rPr>
        <w:t>) toch ten laste genomen worden. Door die afspraken te maken, weten de betrokken partijen waaraan ze toe zijn en moet niet geval per geval per medische kaart uitgeklaard worden wat kan en wat niet kan.</w:t>
      </w:r>
    </w:p>
    <w:p w14:paraId="73391C93" w14:textId="77777777" w:rsidR="004D05D8" w:rsidRPr="004D05D8" w:rsidRDefault="004D05D8" w:rsidP="004D05D8">
      <w:pPr>
        <w:pStyle w:val="VVSGBodytekst"/>
        <w:rPr>
          <w:lang w:val="nl-NL"/>
        </w:rPr>
      </w:pPr>
    </w:p>
    <w:p w14:paraId="710A33C0" w14:textId="550CD0F3" w:rsidR="004D05D8" w:rsidRPr="004D05D8" w:rsidRDefault="004D05D8" w:rsidP="004D05D8">
      <w:pPr>
        <w:pStyle w:val="VVSGBodytekst"/>
        <w:rPr>
          <w:lang w:val="nl-NL"/>
        </w:rPr>
      </w:pPr>
      <w:r w:rsidRPr="004D05D8">
        <w:rPr>
          <w:lang w:val="nl-NL"/>
        </w:rPr>
        <w:t xml:space="preserve">De inhoud van een medische conventie wordt in de eerste plaats bepaald door het beleid dat het betrokken OCMW wil voeren. De medische conventie moet in ieder geval bepalen dat het OCMW het recht heeft om een sociaal onderzoek uit te voeren om na te gaan of de </w:t>
      </w:r>
      <w:r w:rsidR="009F10A6">
        <w:rPr>
          <w:lang w:val="nl-NL"/>
        </w:rPr>
        <w:t xml:space="preserve">hulpvrager </w:t>
      </w:r>
      <w:r w:rsidRPr="004D05D8">
        <w:rPr>
          <w:lang w:val="nl-NL"/>
        </w:rPr>
        <w:t xml:space="preserve">behoeftig is. In dit verband is het handig om te bepalen hoe de samenwerking met de sociale diensten van de ziekenhuizen kan verlopen (uitwisselen van informatie enz.). Een aantal aspecten moet er ook zeker in geregeld worden zoals bijvoorbeeld de na te leven termijnen voor het verwittigen van het OCMW (zie boven bij inhoud medische kaart). Wat de medische zorgen betreft, kan het OCMW autonoom beslissen welke onder de conventie vallen en welke niet. </w:t>
      </w:r>
    </w:p>
    <w:p w14:paraId="2F7052CC" w14:textId="77777777" w:rsidR="004D05D8" w:rsidRPr="004D05D8" w:rsidRDefault="004D05D8" w:rsidP="004D05D8">
      <w:pPr>
        <w:pStyle w:val="VVSGBodytekst"/>
        <w:rPr>
          <w:lang w:val="nl-NL"/>
        </w:rPr>
      </w:pPr>
    </w:p>
    <w:p w14:paraId="0325344E" w14:textId="5EE98644" w:rsidR="004D05D8" w:rsidRPr="004D05D8" w:rsidRDefault="004D05D8" w:rsidP="004D05D8">
      <w:pPr>
        <w:pStyle w:val="VVSGBodytekst"/>
        <w:rPr>
          <w:lang w:val="nl-NL"/>
        </w:rPr>
      </w:pPr>
      <w:r w:rsidRPr="004D05D8">
        <w:rPr>
          <w:lang w:val="nl-NL"/>
        </w:rPr>
        <w:t>Het is ook nuttig om een regeling voor de gevallen van dringende zorgen te voorzien. We bedoelen dan situaties waarbij zorgen verleend worden aan personen die geen medische kaart hebben en die niet vooraf</w:t>
      </w:r>
      <w:r w:rsidR="009F10A6">
        <w:rPr>
          <w:lang w:val="nl-NL"/>
        </w:rPr>
        <w:t xml:space="preserve"> konden langsgaan</w:t>
      </w:r>
      <w:r w:rsidRPr="004D05D8">
        <w:rPr>
          <w:lang w:val="nl-NL"/>
        </w:rPr>
        <w:t xml:space="preserve"> bij het OCMW.</w:t>
      </w:r>
    </w:p>
    <w:p w14:paraId="45543FCB" w14:textId="77777777" w:rsidR="004D05D8" w:rsidRPr="004D05D8" w:rsidRDefault="004D05D8" w:rsidP="004D05D8">
      <w:pPr>
        <w:pStyle w:val="VVSGBodytekst"/>
        <w:rPr>
          <w:lang w:val="nl-NL"/>
        </w:rPr>
      </w:pPr>
    </w:p>
    <w:p w14:paraId="4C203613" w14:textId="77777777" w:rsidR="004D05D8" w:rsidRPr="004D05D8" w:rsidRDefault="004D05D8" w:rsidP="004D05D8">
      <w:pPr>
        <w:pStyle w:val="VVSGBodytekst"/>
        <w:rPr>
          <w:lang w:val="nl-NL"/>
        </w:rPr>
      </w:pPr>
      <w:r w:rsidRPr="004D05D8">
        <w:rPr>
          <w:lang w:val="nl-NL"/>
        </w:rPr>
        <w:t xml:space="preserve">Om te vermijden dat de medische conventies op den duur verouderd worden, wordt best bepaald dat zij op gezette tijden geactualiseerd worden. Zo wordt ook vermeden dat in de praktijk andere werkwijzen dan deze bepaald in de conventie gangbaar zijn. </w:t>
      </w:r>
    </w:p>
    <w:p w14:paraId="0AC753E4" w14:textId="77777777" w:rsidR="004D05D8" w:rsidRPr="004D05D8" w:rsidRDefault="004D05D8" w:rsidP="004D05D8">
      <w:pPr>
        <w:pStyle w:val="VVSGBodytekst"/>
        <w:rPr>
          <w:lang w:val="nl-NL"/>
        </w:rPr>
      </w:pPr>
    </w:p>
    <w:p w14:paraId="1BEA1544" w14:textId="77777777" w:rsidR="004D05D8" w:rsidRPr="004D05D8" w:rsidRDefault="004D05D8" w:rsidP="004D05D8">
      <w:pPr>
        <w:pStyle w:val="VVSGBodytekst"/>
        <w:rPr>
          <w:lang w:val="nl-NL"/>
        </w:rPr>
      </w:pPr>
      <w:r w:rsidRPr="004D05D8">
        <w:rPr>
          <w:lang w:val="nl-NL"/>
        </w:rPr>
        <w:t>Medische conventies zijn vaak toetredingsovereenkomsten. De zorgverleners hebben zelden inspraak bij het bepalen van de inhoud van de medische conventie die wordt aangeboden door het OCMW. Om een groter draagvlak te hebben en meer zorgverleners bij de conventie te betrekken, kan voorafgaand overleg zinvol zijn. Het is aan het OCMW om te oordelen of dat zinvol is en hoe ver het daarmee wil gaan. Uiteindelijk ligt de beslissing bij het OCMW.</w:t>
      </w:r>
    </w:p>
    <w:p w14:paraId="7E3E9775" w14:textId="77777777" w:rsidR="004D05D8" w:rsidRPr="004D05D8" w:rsidRDefault="004D05D8" w:rsidP="004D05D8">
      <w:pPr>
        <w:pStyle w:val="VVSGBodytekst"/>
      </w:pPr>
    </w:p>
    <w:p w14:paraId="424567D4" w14:textId="77777777" w:rsidR="004D05D8" w:rsidRPr="004D05D8" w:rsidRDefault="004D05D8" w:rsidP="004D05D8">
      <w:pPr>
        <w:pStyle w:val="VVSGBodytekst"/>
      </w:pPr>
    </w:p>
    <w:p w14:paraId="7BAD0176" w14:textId="77777777" w:rsidR="004D05D8" w:rsidRPr="004D05D8" w:rsidRDefault="004D05D8" w:rsidP="004D05D8">
      <w:pPr>
        <w:pStyle w:val="VVSGBodytekst"/>
      </w:pPr>
      <w:r w:rsidRPr="004D05D8">
        <w:t>Fabienne Crauwels</w:t>
      </w:r>
    </w:p>
    <w:p w14:paraId="67F24F4B" w14:textId="398E44D6" w:rsidR="004D05D8" w:rsidRPr="00FD7D20" w:rsidRDefault="004D05D8" w:rsidP="004D05D8">
      <w:pPr>
        <w:pStyle w:val="VVSGBodytekst"/>
      </w:pPr>
    </w:p>
    <w:sectPr w:rsidR="004D05D8" w:rsidRPr="00FD7D20" w:rsidSect="00EA4719">
      <w:headerReference w:type="default" r:id="rId10"/>
      <w:footerReference w:type="default" r:id="rId11"/>
      <w:headerReference w:type="first" r:id="rId12"/>
      <w:footerReference w:type="first" r:id="rId13"/>
      <w:pgSz w:w="11906" w:h="16838"/>
      <w:pgMar w:top="2381" w:right="1134" w:bottom="1418" w:left="2835" w:header="595"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FF6487" w14:textId="77777777" w:rsidR="003A7C42" w:rsidRDefault="003A7C42" w:rsidP="00CC6EE8">
      <w:r>
        <w:separator/>
      </w:r>
    </w:p>
  </w:endnote>
  <w:endnote w:type="continuationSeparator" w:id="0">
    <w:p w14:paraId="6D09E264" w14:textId="77777777" w:rsidR="003A7C42" w:rsidRDefault="003A7C42" w:rsidP="00CC6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o Hew">
    <w:charset w:val="00"/>
    <w:family w:val="auto"/>
    <w:pitch w:val="variable"/>
    <w:sig w:usb0="A000002F" w:usb1="500160FB" w:usb2="0000001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23937" w14:textId="77777777" w:rsidR="005737BA" w:rsidRDefault="005737BA">
    <w:pPr>
      <w:pStyle w:val="Voettekst"/>
    </w:pPr>
    <w:r>
      <w:rPr>
        <w:noProof/>
      </w:rPr>
      <mc:AlternateContent>
        <mc:Choice Requires="wps">
          <w:drawing>
            <wp:anchor distT="0" distB="0" distL="114300" distR="114300" simplePos="0" relativeHeight="251662336" behindDoc="1" locked="0" layoutInCell="1" allowOverlap="1" wp14:anchorId="0EFDA9C4" wp14:editId="34667462">
              <wp:simplePos x="5643033" y="9825567"/>
              <wp:positionH relativeFrom="page">
                <wp:align>right</wp:align>
              </wp:positionH>
              <wp:positionV relativeFrom="page">
                <wp:align>bottom</wp:align>
              </wp:positionV>
              <wp:extent cx="1440000" cy="720000"/>
              <wp:effectExtent l="0" t="0" r="0" b="0"/>
              <wp:wrapNone/>
              <wp:docPr id="3" name="Tekstvak 3"/>
              <wp:cNvGraphicFramePr/>
              <a:graphic xmlns:a="http://schemas.openxmlformats.org/drawingml/2006/main">
                <a:graphicData uri="http://schemas.microsoft.com/office/word/2010/wordprocessingShape">
                  <wps:wsp>
                    <wps:cNvSpPr txBox="1"/>
                    <wps:spPr>
                      <a:xfrm>
                        <a:off x="0" y="0"/>
                        <a:ext cx="1440000" cy="720000"/>
                      </a:xfrm>
                      <a:prstGeom prst="rect">
                        <a:avLst/>
                      </a:prstGeom>
                      <a:noFill/>
                      <a:ln w="6350">
                        <a:noFill/>
                      </a:ln>
                    </wps:spPr>
                    <wps:txbx>
                      <w:txbxContent>
                        <w:p w14:paraId="34CD0935" w14:textId="77777777" w:rsidR="005737BA" w:rsidRPr="000E6019" w:rsidRDefault="005737BA" w:rsidP="005737BA">
                          <w:pPr>
                            <w:jc w:val="right"/>
                            <w:rPr>
                              <w:color w:val="97999B" w:themeColor="background2"/>
                              <w:sz w:val="19"/>
                              <w:szCs w:val="19"/>
                            </w:rPr>
                          </w:pPr>
                          <w:r w:rsidRPr="000E6019">
                            <w:rPr>
                              <w:color w:val="97999B" w:themeColor="background2"/>
                              <w:sz w:val="19"/>
                              <w:szCs w:val="19"/>
                            </w:rPr>
                            <w:fldChar w:fldCharType="begin"/>
                          </w:r>
                          <w:r w:rsidRPr="000E6019">
                            <w:rPr>
                              <w:color w:val="97999B" w:themeColor="background2"/>
                              <w:sz w:val="19"/>
                              <w:szCs w:val="19"/>
                            </w:rPr>
                            <w:instrText xml:space="preserve"> PAGE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r w:rsidRPr="000E6019">
                            <w:rPr>
                              <w:color w:val="97999B" w:themeColor="background2"/>
                              <w:sz w:val="19"/>
                              <w:szCs w:val="19"/>
                            </w:rPr>
                            <w:t>/</w:t>
                          </w:r>
                          <w:r w:rsidRPr="000E6019">
                            <w:rPr>
                              <w:color w:val="97999B" w:themeColor="background2"/>
                              <w:sz w:val="19"/>
                              <w:szCs w:val="19"/>
                            </w:rPr>
                            <w:fldChar w:fldCharType="begin"/>
                          </w:r>
                          <w:r w:rsidRPr="000E6019">
                            <w:rPr>
                              <w:color w:val="97999B" w:themeColor="background2"/>
                              <w:sz w:val="19"/>
                              <w:szCs w:val="19"/>
                            </w:rPr>
                            <w:instrText xml:space="preserve"> NUMPAGES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p>
                      </w:txbxContent>
                    </wps:txbx>
                    <wps:bodyPr rot="0" spcFirstLastPara="0" vertOverflow="overflow" horzOverflow="overflow" vert="horz" wrap="square" lIns="0" tIns="0" rIns="378000" bIns="3528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FDA9C4" id="_x0000_t202" coordsize="21600,21600" o:spt="202" path="m,l,21600r21600,l21600,xe">
              <v:stroke joinstyle="miter"/>
              <v:path gradientshapeok="t" o:connecttype="rect"/>
            </v:shapetype>
            <v:shape id="Tekstvak 3" o:spid="_x0000_s1026" type="#_x0000_t202" style="position:absolute;margin-left:62.2pt;margin-top:0;width:113.4pt;height:56.7pt;z-index:-25165414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" filled="f" stroked="f" strokeweight=".5pt">
              <v:textbox inset="0,0,10.5mm,9.8mm">
                <w:txbxContent>
                  <w:p w14:paraId="34CD0935" w14:textId="77777777" w:rsidR="005737BA" w:rsidRPr="000E6019" w:rsidRDefault="005737BA" w:rsidP="005737BA">
                    <w:pPr>
                      <w:jc w:val="right"/>
                      <w:rPr>
                        <w:color w:val="97999B" w:themeColor="background2"/>
                        <w:sz w:val="19"/>
                        <w:szCs w:val="19"/>
                      </w:rPr>
                    </w:pPr>
                    <w:r w:rsidRPr="000E6019">
                      <w:rPr>
                        <w:color w:val="97999B" w:themeColor="background2"/>
                        <w:sz w:val="19"/>
                        <w:szCs w:val="19"/>
                      </w:rPr>
                      <w:fldChar w:fldCharType="begin"/>
                    </w:r>
                    <w:r w:rsidRPr="000E6019">
                      <w:rPr>
                        <w:color w:val="97999B" w:themeColor="background2"/>
                        <w:sz w:val="19"/>
                        <w:szCs w:val="19"/>
                      </w:rPr>
                      <w:instrText xml:space="preserve"> PAGE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r w:rsidRPr="000E6019">
                      <w:rPr>
                        <w:color w:val="97999B" w:themeColor="background2"/>
                        <w:sz w:val="19"/>
                        <w:szCs w:val="19"/>
                      </w:rPr>
                      <w:t>/</w:t>
                    </w:r>
                    <w:r w:rsidRPr="000E6019">
                      <w:rPr>
                        <w:color w:val="97999B" w:themeColor="background2"/>
                        <w:sz w:val="19"/>
                        <w:szCs w:val="19"/>
                      </w:rPr>
                      <w:fldChar w:fldCharType="begin"/>
                    </w:r>
                    <w:r w:rsidRPr="000E6019">
                      <w:rPr>
                        <w:color w:val="97999B" w:themeColor="background2"/>
                        <w:sz w:val="19"/>
                        <w:szCs w:val="19"/>
                      </w:rPr>
                      <w:instrText xml:space="preserve"> NUMPAGES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5DCB7" w14:textId="77777777" w:rsidR="00CC6EE8" w:rsidRPr="003A7C42" w:rsidRDefault="00CC6EE8" w:rsidP="00CC6EE8">
    <w:pPr>
      <w:pStyle w:val="Voettekst"/>
      <w:rPr>
        <w:lang w:val="de-DE"/>
      </w:rPr>
    </w:pPr>
    <w:r w:rsidRPr="003A7C42">
      <w:rPr>
        <w:rFonts w:eastAsiaTheme="majorEastAsia"/>
        <w:lang w:val="de-DE"/>
      </w:rPr>
      <w:t>VVSG vzw • Bischoffsheimlaan 1-8 • 1000 Brussel • T +32 2 211 55 00</w:t>
    </w:r>
  </w:p>
  <w:p w14:paraId="3F9138FD" w14:textId="77777777" w:rsidR="00CC6EE8" w:rsidRPr="003A7C42" w:rsidRDefault="00CC6EE8" w:rsidP="00CC6EE8">
    <w:pPr>
      <w:pStyle w:val="Voettekst"/>
      <w:rPr>
        <w:lang w:val="en-GB"/>
      </w:rPr>
    </w:pPr>
    <w:r w:rsidRPr="003A7C42">
      <w:rPr>
        <w:lang w:val="en-GB"/>
      </w:rPr>
      <w:t>BIC GKCCBEBB</w:t>
    </w:r>
    <w:r w:rsidRPr="003A7C42">
      <w:rPr>
        <w:rFonts w:eastAsiaTheme="majorEastAsia"/>
        <w:lang w:val="en-GB"/>
      </w:rPr>
      <w:t xml:space="preserve"> •</w:t>
    </w:r>
    <w:r w:rsidRPr="003A7C42">
      <w:rPr>
        <w:lang w:val="en-GB"/>
      </w:rPr>
      <w:t xml:space="preserve"> IBAN BE10 0910 1156 9604</w:t>
    </w:r>
    <w:r w:rsidRPr="003A7C42">
      <w:rPr>
        <w:rFonts w:eastAsiaTheme="majorEastAsia"/>
        <w:lang w:val="en-GB"/>
      </w:rPr>
      <w:t xml:space="preserve"> •</w:t>
    </w:r>
    <w:r w:rsidRPr="003A7C42">
      <w:rPr>
        <w:lang w:val="en-GB"/>
      </w:rPr>
      <w:t xml:space="preserve"> RPR Brussel BE 0451 857 573</w:t>
    </w:r>
  </w:p>
  <w:p w14:paraId="414419F3" w14:textId="77777777" w:rsidR="00CC6EE8" w:rsidRPr="003A7C42" w:rsidRDefault="00CC6EE8" w:rsidP="00CC6EE8">
    <w:pPr>
      <w:pStyle w:val="Voettekst"/>
      <w:rPr>
        <w:lang w:val="en-GB"/>
      </w:rPr>
    </w:pPr>
    <w:r w:rsidRPr="003A7C42">
      <w:rPr>
        <w:rFonts w:eastAsiaTheme="majorEastAsia"/>
        <w:lang w:val="en-GB"/>
      </w:rPr>
      <w:t>info@vvsg.be • www.vvsg.be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5CB76B" w14:textId="77777777" w:rsidR="003A7C42" w:rsidRDefault="003A7C42" w:rsidP="00CC6EE8">
      <w:r>
        <w:separator/>
      </w:r>
    </w:p>
  </w:footnote>
  <w:footnote w:type="continuationSeparator" w:id="0">
    <w:p w14:paraId="1CE8B108" w14:textId="77777777" w:rsidR="003A7C42" w:rsidRDefault="003A7C42" w:rsidP="00CC6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51305" w14:textId="77777777" w:rsidR="00CC6EE8" w:rsidRDefault="00CC6EE8">
    <w:pPr>
      <w:pStyle w:val="Koptekst"/>
    </w:pPr>
    <w:r>
      <w:rPr>
        <w:noProof/>
      </w:rPr>
      <w:drawing>
        <wp:anchor distT="0" distB="0" distL="114300" distR="114300" simplePos="0" relativeHeight="251659264" behindDoc="1" locked="0" layoutInCell="1" allowOverlap="1" wp14:anchorId="6248418F" wp14:editId="0907E58B">
          <wp:simplePos x="0" y="0"/>
          <wp:positionH relativeFrom="page">
            <wp:posOffset>377825</wp:posOffset>
          </wp:positionH>
          <wp:positionV relativeFrom="page">
            <wp:posOffset>377825</wp:posOffset>
          </wp:positionV>
          <wp:extent cx="964440" cy="355320"/>
          <wp:effectExtent l="0" t="0" r="7620" b="6985"/>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64440" cy="3553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1C551" w14:textId="77777777" w:rsidR="00CC6EE8" w:rsidRPr="00CC6EE8" w:rsidRDefault="0083041D" w:rsidP="00CC6EE8">
    <w:pPr>
      <w:pStyle w:val="Koptekst"/>
    </w:pPr>
    <w:r>
      <w:rPr>
        <w:noProof/>
      </w:rPr>
      <w:drawing>
        <wp:anchor distT="0" distB="0" distL="114300" distR="114300" simplePos="0" relativeHeight="251663360" behindDoc="1" locked="0" layoutInCell="1" allowOverlap="1" wp14:anchorId="598BA592" wp14:editId="5D5BC74D">
          <wp:simplePos x="0" y="0"/>
          <wp:positionH relativeFrom="page">
            <wp:posOffset>-107950</wp:posOffset>
          </wp:positionH>
          <wp:positionV relativeFrom="page">
            <wp:posOffset>5321935</wp:posOffset>
          </wp:positionV>
          <wp:extent cx="1508040" cy="3960000"/>
          <wp:effectExtent l="0" t="0" r="0" b="254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08040" cy="3960000"/>
                  </a:xfrm>
                  <a:prstGeom prst="rect">
                    <a:avLst/>
                  </a:prstGeom>
                </pic:spPr>
              </pic:pic>
            </a:graphicData>
          </a:graphic>
          <wp14:sizeRelH relativeFrom="margin">
            <wp14:pctWidth>0</wp14:pctWidth>
          </wp14:sizeRelH>
          <wp14:sizeRelV relativeFrom="margin">
            <wp14:pctHeight>0</wp14:pctHeight>
          </wp14:sizeRelV>
        </wp:anchor>
      </w:drawing>
    </w:r>
    <w:r w:rsidR="00CC6EE8">
      <w:rPr>
        <w:noProof/>
      </w:rPr>
      <w:drawing>
        <wp:anchor distT="0" distB="0" distL="114300" distR="114300" simplePos="0" relativeHeight="251661312" behindDoc="1" locked="0" layoutInCell="1" allowOverlap="1" wp14:anchorId="24F9B914" wp14:editId="1B3E0185">
          <wp:simplePos x="0" y="0"/>
          <wp:positionH relativeFrom="page">
            <wp:posOffset>377825</wp:posOffset>
          </wp:positionH>
          <wp:positionV relativeFrom="page">
            <wp:posOffset>377825</wp:posOffset>
          </wp:positionV>
          <wp:extent cx="2217600" cy="481320"/>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217600" cy="481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B3F47"/>
    <w:multiLevelType w:val="multilevel"/>
    <w:tmpl w:val="4384968A"/>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DF57EB"/>
    <w:multiLevelType w:val="multilevel"/>
    <w:tmpl w:val="4384968A"/>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3001E3D"/>
    <w:multiLevelType w:val="hybridMultilevel"/>
    <w:tmpl w:val="6B5ABF0A"/>
    <w:lvl w:ilvl="0" w:tplc="56B25228">
      <w:start w:val="1"/>
      <w:numFmt w:val="decimal"/>
      <w:lvlText w:val="%1."/>
      <w:lvlJc w:val="right"/>
      <w:pPr>
        <w:ind w:left="720" w:hanging="360"/>
      </w:pPr>
      <w:rPr>
        <w:rFonts w:asciiTheme="minorHAnsi" w:hAnsiTheme="minorHAns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9F7416F"/>
    <w:multiLevelType w:val="hybridMultilevel"/>
    <w:tmpl w:val="04BAA360"/>
    <w:lvl w:ilvl="0" w:tplc="ED2419E8">
      <w:start w:val="1"/>
      <w:numFmt w:val="decimal"/>
      <w:pStyle w:val="VVSGBodyNummeringInsprong"/>
      <w:lvlText w:val="%1."/>
      <w:lvlJc w:val="right"/>
      <w:pPr>
        <w:ind w:left="1330" w:hanging="360"/>
      </w:pPr>
      <w:rPr>
        <w:rFonts w:asciiTheme="minorHAnsi" w:hAnsiTheme="minorHAnsi" w:hint="default"/>
      </w:rPr>
    </w:lvl>
    <w:lvl w:ilvl="1" w:tplc="08130019" w:tentative="1">
      <w:start w:val="1"/>
      <w:numFmt w:val="lowerLetter"/>
      <w:lvlText w:val="%2."/>
      <w:lvlJc w:val="left"/>
      <w:pPr>
        <w:ind w:left="2050" w:hanging="360"/>
      </w:pPr>
    </w:lvl>
    <w:lvl w:ilvl="2" w:tplc="0813001B" w:tentative="1">
      <w:start w:val="1"/>
      <w:numFmt w:val="lowerRoman"/>
      <w:lvlText w:val="%3."/>
      <w:lvlJc w:val="right"/>
      <w:pPr>
        <w:ind w:left="2770" w:hanging="180"/>
      </w:pPr>
    </w:lvl>
    <w:lvl w:ilvl="3" w:tplc="0813000F" w:tentative="1">
      <w:start w:val="1"/>
      <w:numFmt w:val="decimal"/>
      <w:lvlText w:val="%4."/>
      <w:lvlJc w:val="left"/>
      <w:pPr>
        <w:ind w:left="3490" w:hanging="360"/>
      </w:pPr>
    </w:lvl>
    <w:lvl w:ilvl="4" w:tplc="08130019" w:tentative="1">
      <w:start w:val="1"/>
      <w:numFmt w:val="lowerLetter"/>
      <w:lvlText w:val="%5."/>
      <w:lvlJc w:val="left"/>
      <w:pPr>
        <w:ind w:left="4210" w:hanging="360"/>
      </w:pPr>
    </w:lvl>
    <w:lvl w:ilvl="5" w:tplc="0813001B" w:tentative="1">
      <w:start w:val="1"/>
      <w:numFmt w:val="lowerRoman"/>
      <w:lvlText w:val="%6."/>
      <w:lvlJc w:val="right"/>
      <w:pPr>
        <w:ind w:left="4930" w:hanging="180"/>
      </w:pPr>
    </w:lvl>
    <w:lvl w:ilvl="6" w:tplc="0813000F" w:tentative="1">
      <w:start w:val="1"/>
      <w:numFmt w:val="decimal"/>
      <w:lvlText w:val="%7."/>
      <w:lvlJc w:val="left"/>
      <w:pPr>
        <w:ind w:left="5650" w:hanging="360"/>
      </w:pPr>
    </w:lvl>
    <w:lvl w:ilvl="7" w:tplc="08130019" w:tentative="1">
      <w:start w:val="1"/>
      <w:numFmt w:val="lowerLetter"/>
      <w:lvlText w:val="%8."/>
      <w:lvlJc w:val="left"/>
      <w:pPr>
        <w:ind w:left="6370" w:hanging="360"/>
      </w:pPr>
    </w:lvl>
    <w:lvl w:ilvl="8" w:tplc="0813001B" w:tentative="1">
      <w:start w:val="1"/>
      <w:numFmt w:val="lowerRoman"/>
      <w:lvlText w:val="%9."/>
      <w:lvlJc w:val="right"/>
      <w:pPr>
        <w:ind w:left="7090" w:hanging="180"/>
      </w:pPr>
    </w:lvl>
  </w:abstractNum>
  <w:abstractNum w:abstractNumId="4" w15:restartNumberingAfterBreak="0">
    <w:nsid w:val="1B5D70DF"/>
    <w:multiLevelType w:val="multilevel"/>
    <w:tmpl w:val="4384968A"/>
    <w:styleLink w:val="VVSGtitels"/>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33C6B23"/>
    <w:multiLevelType w:val="hybridMultilevel"/>
    <w:tmpl w:val="F7B6CA34"/>
    <w:lvl w:ilvl="0" w:tplc="8584BEB0">
      <w:start w:val="1"/>
      <w:numFmt w:val="bullet"/>
      <w:lvlText w:val="­"/>
      <w:lvlJc w:val="left"/>
      <w:pPr>
        <w:ind w:left="720" w:hanging="360"/>
      </w:pPr>
      <w:rPr>
        <w:rFonts w:ascii="Coo Hew" w:hAnsi="Coo Hew" w:hint="default"/>
      </w:rPr>
    </w:lvl>
    <w:lvl w:ilvl="1" w:tplc="DF6259EA" w:tentative="1">
      <w:start w:val="1"/>
      <w:numFmt w:val="bullet"/>
      <w:lvlText w:val="o"/>
      <w:lvlJc w:val="left"/>
      <w:pPr>
        <w:ind w:left="1440" w:hanging="360"/>
      </w:pPr>
      <w:rPr>
        <w:rFonts w:ascii="Courier New" w:hAnsi="Courier New" w:cs="Courier New" w:hint="default"/>
      </w:rPr>
    </w:lvl>
    <w:lvl w:ilvl="2" w:tplc="FAF42ECE" w:tentative="1">
      <w:start w:val="1"/>
      <w:numFmt w:val="bullet"/>
      <w:lvlText w:val=""/>
      <w:lvlJc w:val="left"/>
      <w:pPr>
        <w:ind w:left="2160" w:hanging="360"/>
      </w:pPr>
      <w:rPr>
        <w:rFonts w:ascii="Wingdings" w:hAnsi="Wingdings" w:hint="default"/>
      </w:rPr>
    </w:lvl>
    <w:lvl w:ilvl="3" w:tplc="FD1A5FFC" w:tentative="1">
      <w:start w:val="1"/>
      <w:numFmt w:val="bullet"/>
      <w:lvlText w:val=""/>
      <w:lvlJc w:val="left"/>
      <w:pPr>
        <w:ind w:left="2880" w:hanging="360"/>
      </w:pPr>
      <w:rPr>
        <w:rFonts w:ascii="Symbol" w:hAnsi="Symbol" w:hint="default"/>
      </w:rPr>
    </w:lvl>
    <w:lvl w:ilvl="4" w:tplc="9E662C80" w:tentative="1">
      <w:start w:val="1"/>
      <w:numFmt w:val="bullet"/>
      <w:lvlText w:val="o"/>
      <w:lvlJc w:val="left"/>
      <w:pPr>
        <w:ind w:left="3600" w:hanging="360"/>
      </w:pPr>
      <w:rPr>
        <w:rFonts w:ascii="Courier New" w:hAnsi="Courier New" w:cs="Courier New" w:hint="default"/>
      </w:rPr>
    </w:lvl>
    <w:lvl w:ilvl="5" w:tplc="96EC6FEE" w:tentative="1">
      <w:start w:val="1"/>
      <w:numFmt w:val="bullet"/>
      <w:lvlText w:val=""/>
      <w:lvlJc w:val="left"/>
      <w:pPr>
        <w:ind w:left="4320" w:hanging="360"/>
      </w:pPr>
      <w:rPr>
        <w:rFonts w:ascii="Wingdings" w:hAnsi="Wingdings" w:hint="default"/>
      </w:rPr>
    </w:lvl>
    <w:lvl w:ilvl="6" w:tplc="9F04C6F2" w:tentative="1">
      <w:start w:val="1"/>
      <w:numFmt w:val="bullet"/>
      <w:lvlText w:val=""/>
      <w:lvlJc w:val="left"/>
      <w:pPr>
        <w:ind w:left="5040" w:hanging="360"/>
      </w:pPr>
      <w:rPr>
        <w:rFonts w:ascii="Symbol" w:hAnsi="Symbol" w:hint="default"/>
      </w:rPr>
    </w:lvl>
    <w:lvl w:ilvl="7" w:tplc="E258F02C" w:tentative="1">
      <w:start w:val="1"/>
      <w:numFmt w:val="bullet"/>
      <w:lvlText w:val="o"/>
      <w:lvlJc w:val="left"/>
      <w:pPr>
        <w:ind w:left="5760" w:hanging="360"/>
      </w:pPr>
      <w:rPr>
        <w:rFonts w:ascii="Courier New" w:hAnsi="Courier New" w:cs="Courier New" w:hint="default"/>
      </w:rPr>
    </w:lvl>
    <w:lvl w:ilvl="8" w:tplc="80FCD87E" w:tentative="1">
      <w:start w:val="1"/>
      <w:numFmt w:val="bullet"/>
      <w:lvlText w:val=""/>
      <w:lvlJc w:val="left"/>
      <w:pPr>
        <w:ind w:left="6480" w:hanging="360"/>
      </w:pPr>
      <w:rPr>
        <w:rFonts w:ascii="Wingdings" w:hAnsi="Wingdings" w:hint="default"/>
      </w:rPr>
    </w:lvl>
  </w:abstractNum>
  <w:abstractNum w:abstractNumId="6" w15:restartNumberingAfterBreak="0">
    <w:nsid w:val="27383C28"/>
    <w:multiLevelType w:val="multilevel"/>
    <w:tmpl w:val="4384968A"/>
    <w:numStyleLink w:val="VVSGtitels"/>
  </w:abstractNum>
  <w:abstractNum w:abstractNumId="7" w15:restartNumberingAfterBreak="0">
    <w:nsid w:val="27761599"/>
    <w:multiLevelType w:val="multilevel"/>
    <w:tmpl w:val="4384968A"/>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AB05BA9"/>
    <w:multiLevelType w:val="multilevel"/>
    <w:tmpl w:val="F3409C6A"/>
    <w:styleLink w:val="VVSGTitels0"/>
    <w:lvl w:ilvl="0">
      <w:start w:val="1"/>
      <w:numFmt w:val="decimal"/>
      <w:pStyle w:val="VVSGTitel1"/>
      <w:lvlText w:val="%1."/>
      <w:lvlJc w:val="left"/>
      <w:pPr>
        <w:ind w:left="284" w:hanging="284"/>
      </w:pPr>
      <w:rPr>
        <w:rFonts w:hint="default"/>
      </w:rPr>
    </w:lvl>
    <w:lvl w:ilvl="1">
      <w:start w:val="1"/>
      <w:numFmt w:val="decimal"/>
      <w:pStyle w:val="VVSGTitel2"/>
      <w:lvlText w:val="%1.%2."/>
      <w:lvlJc w:val="left"/>
      <w:pPr>
        <w:ind w:left="792" w:hanging="432"/>
      </w:pPr>
      <w:rPr>
        <w:rFonts w:hint="default"/>
      </w:rPr>
    </w:lvl>
    <w:lvl w:ilvl="2">
      <w:start w:val="1"/>
      <w:numFmt w:val="decimal"/>
      <w:pStyle w:val="VVSGTitel3"/>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E0D67E6"/>
    <w:multiLevelType w:val="hybridMultilevel"/>
    <w:tmpl w:val="4B9CFE18"/>
    <w:lvl w:ilvl="0" w:tplc="710696BC">
      <w:start w:val="1"/>
      <w:numFmt w:val="bullet"/>
      <w:pStyle w:val="VVSGBodyOpsom"/>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FB155B4"/>
    <w:multiLevelType w:val="multilevel"/>
    <w:tmpl w:val="4384968A"/>
    <w:numStyleLink w:val="VVSGtitels"/>
  </w:abstractNum>
  <w:abstractNum w:abstractNumId="11" w15:restartNumberingAfterBreak="0">
    <w:nsid w:val="318463F8"/>
    <w:multiLevelType w:val="hybridMultilevel"/>
    <w:tmpl w:val="EA5AFC16"/>
    <w:lvl w:ilvl="0" w:tplc="060C6984">
      <w:start w:val="1"/>
      <w:numFmt w:val="decimal"/>
      <w:lvlText w:val="%1."/>
      <w:lvlJc w:val="right"/>
      <w:pPr>
        <w:ind w:left="720" w:hanging="360"/>
      </w:pPr>
      <w:rPr>
        <w:rFonts w:asciiTheme="minorHAnsi" w:hAnsiTheme="minorHAns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3283C0D"/>
    <w:multiLevelType w:val="hybridMultilevel"/>
    <w:tmpl w:val="AA9CAE46"/>
    <w:lvl w:ilvl="0" w:tplc="3E5CB710">
      <w:start w:val="1"/>
      <w:numFmt w:val="decimal"/>
      <w:pStyle w:val="VVSGBodyNummering"/>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4FD5C6F"/>
    <w:multiLevelType w:val="multilevel"/>
    <w:tmpl w:val="4384968A"/>
    <w:numStyleLink w:val="VVSGtitels"/>
  </w:abstractNum>
  <w:abstractNum w:abstractNumId="14" w15:restartNumberingAfterBreak="0">
    <w:nsid w:val="454D5CC2"/>
    <w:multiLevelType w:val="hybridMultilevel"/>
    <w:tmpl w:val="C3EE2640"/>
    <w:lvl w:ilvl="0" w:tplc="12CA329A">
      <w:numFmt w:val="bullet"/>
      <w:lvlText w:val="-"/>
      <w:lvlJc w:val="left"/>
      <w:pPr>
        <w:tabs>
          <w:tab w:val="num" w:pos="720"/>
        </w:tabs>
        <w:ind w:left="720" w:hanging="360"/>
      </w:pPr>
      <w:rPr>
        <w:rFonts w:ascii="Arial Narrow" w:eastAsia="Times New Roman" w:hAnsi="Arial Narrow" w:cs="Times New Roman" w:hint="default"/>
      </w:rPr>
    </w:lvl>
    <w:lvl w:ilvl="1" w:tplc="08130003">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63314B"/>
    <w:multiLevelType w:val="multilevel"/>
    <w:tmpl w:val="4384968A"/>
    <w:numStyleLink w:val="VVSGtitels"/>
  </w:abstractNum>
  <w:abstractNum w:abstractNumId="16" w15:restartNumberingAfterBreak="0">
    <w:nsid w:val="4C9379BD"/>
    <w:multiLevelType w:val="hybridMultilevel"/>
    <w:tmpl w:val="43EADDDC"/>
    <w:lvl w:ilvl="0" w:tplc="2CC4C738">
      <w:start w:val="1"/>
      <w:numFmt w:val="bullet"/>
      <w:lvlText w:val="□"/>
      <w:lvlJc w:val="left"/>
      <w:pPr>
        <w:ind w:left="720" w:hanging="360"/>
      </w:pPr>
      <w:rPr>
        <w:rFonts w:ascii="Arial" w:hAnsi="Arial" w:cs="Arial" w:hint="default"/>
        <w:sz w:val="40"/>
        <w:szCs w:val="4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DA87147"/>
    <w:multiLevelType w:val="multilevel"/>
    <w:tmpl w:val="214A57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1B779BC"/>
    <w:multiLevelType w:val="multilevel"/>
    <w:tmpl w:val="D80026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E4D553D"/>
    <w:multiLevelType w:val="multilevel"/>
    <w:tmpl w:val="4384968A"/>
    <w:numStyleLink w:val="VVSGtitels"/>
  </w:abstractNum>
  <w:abstractNum w:abstractNumId="20" w15:restartNumberingAfterBreak="0">
    <w:nsid w:val="6F8874EC"/>
    <w:multiLevelType w:val="hybridMultilevel"/>
    <w:tmpl w:val="90CE953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755439768">
    <w:abstractNumId w:val="5"/>
  </w:num>
  <w:num w:numId="2" w16cid:durableId="1844277798">
    <w:abstractNumId w:val="16"/>
  </w:num>
  <w:num w:numId="3" w16cid:durableId="1511330939">
    <w:abstractNumId w:val="4"/>
  </w:num>
  <w:num w:numId="4" w16cid:durableId="32773258">
    <w:abstractNumId w:val="19"/>
  </w:num>
  <w:num w:numId="5" w16cid:durableId="713307401">
    <w:abstractNumId w:val="1"/>
  </w:num>
  <w:num w:numId="6" w16cid:durableId="1377463812">
    <w:abstractNumId w:val="15"/>
  </w:num>
  <w:num w:numId="7" w16cid:durableId="1853254744">
    <w:abstractNumId w:val="2"/>
  </w:num>
  <w:num w:numId="8" w16cid:durableId="1218977731">
    <w:abstractNumId w:val="6"/>
  </w:num>
  <w:num w:numId="9" w16cid:durableId="760687464">
    <w:abstractNumId w:val="13"/>
  </w:num>
  <w:num w:numId="10" w16cid:durableId="897397162">
    <w:abstractNumId w:val="7"/>
  </w:num>
  <w:num w:numId="11" w16cid:durableId="1406801306">
    <w:abstractNumId w:val="10"/>
  </w:num>
  <w:num w:numId="12" w16cid:durableId="535124557">
    <w:abstractNumId w:val="0"/>
  </w:num>
  <w:num w:numId="13" w16cid:durableId="742072346">
    <w:abstractNumId w:val="18"/>
  </w:num>
  <w:num w:numId="14" w16cid:durableId="900406897">
    <w:abstractNumId w:val="11"/>
  </w:num>
  <w:num w:numId="15" w16cid:durableId="1858274482">
    <w:abstractNumId w:val="9"/>
  </w:num>
  <w:num w:numId="16" w16cid:durableId="1987585744">
    <w:abstractNumId w:val="17"/>
  </w:num>
  <w:num w:numId="17" w16cid:durableId="35661834">
    <w:abstractNumId w:val="8"/>
  </w:num>
  <w:num w:numId="18" w16cid:durableId="497422187">
    <w:abstractNumId w:val="12"/>
  </w:num>
  <w:num w:numId="19" w16cid:durableId="1605845744">
    <w:abstractNumId w:val="12"/>
    <w:lvlOverride w:ilvl="0">
      <w:startOverride w:val="1"/>
    </w:lvlOverride>
  </w:num>
  <w:num w:numId="20" w16cid:durableId="1620332038">
    <w:abstractNumId w:val="12"/>
  </w:num>
  <w:num w:numId="21" w16cid:durableId="1347755977">
    <w:abstractNumId w:val="3"/>
  </w:num>
  <w:num w:numId="22" w16cid:durableId="1540783299">
    <w:abstractNumId w:val="14"/>
  </w:num>
  <w:num w:numId="23" w16cid:durableId="13405017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C42"/>
    <w:rsid w:val="00011357"/>
    <w:rsid w:val="00023913"/>
    <w:rsid w:val="00024353"/>
    <w:rsid w:val="00025844"/>
    <w:rsid w:val="0002765F"/>
    <w:rsid w:val="0003430B"/>
    <w:rsid w:val="00050E77"/>
    <w:rsid w:val="000706B6"/>
    <w:rsid w:val="00071F2B"/>
    <w:rsid w:val="00074365"/>
    <w:rsid w:val="00087630"/>
    <w:rsid w:val="000A61C3"/>
    <w:rsid w:val="000B2BD0"/>
    <w:rsid w:val="000C58BD"/>
    <w:rsid w:val="000D0025"/>
    <w:rsid w:val="000D0623"/>
    <w:rsid w:val="000D1B9D"/>
    <w:rsid w:val="000D714F"/>
    <w:rsid w:val="000D7CAE"/>
    <w:rsid w:val="000E6019"/>
    <w:rsid w:val="000F3C51"/>
    <w:rsid w:val="000F6824"/>
    <w:rsid w:val="000F73F9"/>
    <w:rsid w:val="00134BEC"/>
    <w:rsid w:val="001A4894"/>
    <w:rsid w:val="001C1E61"/>
    <w:rsid w:val="001E0F82"/>
    <w:rsid w:val="001E303E"/>
    <w:rsid w:val="001F1305"/>
    <w:rsid w:val="002009A8"/>
    <w:rsid w:val="00221C56"/>
    <w:rsid w:val="00224989"/>
    <w:rsid w:val="00235A53"/>
    <w:rsid w:val="00241381"/>
    <w:rsid w:val="00250B16"/>
    <w:rsid w:val="00266BEF"/>
    <w:rsid w:val="002B3018"/>
    <w:rsid w:val="002C3942"/>
    <w:rsid w:val="002D5B1D"/>
    <w:rsid w:val="0031716F"/>
    <w:rsid w:val="0032510A"/>
    <w:rsid w:val="003541A5"/>
    <w:rsid w:val="0035726E"/>
    <w:rsid w:val="00361327"/>
    <w:rsid w:val="00364656"/>
    <w:rsid w:val="00377736"/>
    <w:rsid w:val="0038384D"/>
    <w:rsid w:val="003A7C42"/>
    <w:rsid w:val="003C3AF9"/>
    <w:rsid w:val="003C7B29"/>
    <w:rsid w:val="003D1241"/>
    <w:rsid w:val="003D3ABC"/>
    <w:rsid w:val="003F3A9E"/>
    <w:rsid w:val="003F3FFB"/>
    <w:rsid w:val="00426E47"/>
    <w:rsid w:val="00450662"/>
    <w:rsid w:val="00453DF4"/>
    <w:rsid w:val="00482C9E"/>
    <w:rsid w:val="004A4E83"/>
    <w:rsid w:val="004B1374"/>
    <w:rsid w:val="004D05D8"/>
    <w:rsid w:val="004D38AC"/>
    <w:rsid w:val="004D6A24"/>
    <w:rsid w:val="004F1A1E"/>
    <w:rsid w:val="00516B67"/>
    <w:rsid w:val="00532194"/>
    <w:rsid w:val="005327E7"/>
    <w:rsid w:val="00535271"/>
    <w:rsid w:val="00542939"/>
    <w:rsid w:val="0055444C"/>
    <w:rsid w:val="00564DAA"/>
    <w:rsid w:val="005737BA"/>
    <w:rsid w:val="0058070F"/>
    <w:rsid w:val="00585B3B"/>
    <w:rsid w:val="00596904"/>
    <w:rsid w:val="005A0E9E"/>
    <w:rsid w:val="005C0FB0"/>
    <w:rsid w:val="0065782C"/>
    <w:rsid w:val="00665819"/>
    <w:rsid w:val="00681710"/>
    <w:rsid w:val="0069253F"/>
    <w:rsid w:val="006A46F6"/>
    <w:rsid w:val="006B00AB"/>
    <w:rsid w:val="006B7F92"/>
    <w:rsid w:val="006E0877"/>
    <w:rsid w:val="00701CAC"/>
    <w:rsid w:val="00701ECD"/>
    <w:rsid w:val="007206EF"/>
    <w:rsid w:val="00733A63"/>
    <w:rsid w:val="00747199"/>
    <w:rsid w:val="007554C4"/>
    <w:rsid w:val="00762332"/>
    <w:rsid w:val="00770A2F"/>
    <w:rsid w:val="007A4FAB"/>
    <w:rsid w:val="007A7D28"/>
    <w:rsid w:val="007D672F"/>
    <w:rsid w:val="007E117A"/>
    <w:rsid w:val="008112C4"/>
    <w:rsid w:val="0081192D"/>
    <w:rsid w:val="00823B01"/>
    <w:rsid w:val="00830304"/>
    <w:rsid w:val="0083041D"/>
    <w:rsid w:val="008362F7"/>
    <w:rsid w:val="008363B4"/>
    <w:rsid w:val="008633FE"/>
    <w:rsid w:val="0089489C"/>
    <w:rsid w:val="008B31AF"/>
    <w:rsid w:val="008B7A00"/>
    <w:rsid w:val="008E6269"/>
    <w:rsid w:val="008F716B"/>
    <w:rsid w:val="00913527"/>
    <w:rsid w:val="00922427"/>
    <w:rsid w:val="00962263"/>
    <w:rsid w:val="00962464"/>
    <w:rsid w:val="00963DAE"/>
    <w:rsid w:val="009D146B"/>
    <w:rsid w:val="009F10A6"/>
    <w:rsid w:val="00A16D79"/>
    <w:rsid w:val="00A20FA1"/>
    <w:rsid w:val="00A304B0"/>
    <w:rsid w:val="00A36D1F"/>
    <w:rsid w:val="00A7308D"/>
    <w:rsid w:val="00A815CA"/>
    <w:rsid w:val="00A83758"/>
    <w:rsid w:val="00A869D0"/>
    <w:rsid w:val="00A9282D"/>
    <w:rsid w:val="00AA4D6A"/>
    <w:rsid w:val="00AC6083"/>
    <w:rsid w:val="00AC794E"/>
    <w:rsid w:val="00B00D8C"/>
    <w:rsid w:val="00B10BD1"/>
    <w:rsid w:val="00B13664"/>
    <w:rsid w:val="00B50B36"/>
    <w:rsid w:val="00B961D8"/>
    <w:rsid w:val="00BA2A8F"/>
    <w:rsid w:val="00BA38A2"/>
    <w:rsid w:val="00BD2370"/>
    <w:rsid w:val="00BD7B19"/>
    <w:rsid w:val="00C06CDA"/>
    <w:rsid w:val="00C13CF4"/>
    <w:rsid w:val="00C2151C"/>
    <w:rsid w:val="00C47943"/>
    <w:rsid w:val="00C56181"/>
    <w:rsid w:val="00C5637B"/>
    <w:rsid w:val="00C60C4F"/>
    <w:rsid w:val="00C84D94"/>
    <w:rsid w:val="00C969D7"/>
    <w:rsid w:val="00CC6EE8"/>
    <w:rsid w:val="00CE1210"/>
    <w:rsid w:val="00D309F6"/>
    <w:rsid w:val="00D4120B"/>
    <w:rsid w:val="00D70255"/>
    <w:rsid w:val="00D852EA"/>
    <w:rsid w:val="00D966BF"/>
    <w:rsid w:val="00DA0FBE"/>
    <w:rsid w:val="00DC630A"/>
    <w:rsid w:val="00DD0A62"/>
    <w:rsid w:val="00DF69E2"/>
    <w:rsid w:val="00E410A8"/>
    <w:rsid w:val="00E511CC"/>
    <w:rsid w:val="00E67F6D"/>
    <w:rsid w:val="00E73DFD"/>
    <w:rsid w:val="00EA4719"/>
    <w:rsid w:val="00EA580E"/>
    <w:rsid w:val="00EA5DE5"/>
    <w:rsid w:val="00EB0D48"/>
    <w:rsid w:val="00EC2A78"/>
    <w:rsid w:val="00EC65F8"/>
    <w:rsid w:val="00F267E2"/>
    <w:rsid w:val="00F44B48"/>
    <w:rsid w:val="00F4587A"/>
    <w:rsid w:val="00F61B3E"/>
    <w:rsid w:val="00F66FF2"/>
    <w:rsid w:val="00F737D3"/>
    <w:rsid w:val="00F94C1D"/>
    <w:rsid w:val="00FA2B4A"/>
    <w:rsid w:val="00FD25F0"/>
    <w:rsid w:val="00FD7D20"/>
    <w:rsid w:val="00FE5C37"/>
    <w:rsid w:val="00FF422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8EFB9"/>
  <w15:chartTrackingRefBased/>
  <w15:docId w15:val="{891556F4-59D3-463D-9932-A5FF0EB6C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6904"/>
    <w:pPr>
      <w:spacing w:after="0" w:line="240" w:lineRule="auto"/>
    </w:pPr>
    <w:rPr>
      <w:rFonts w:ascii="Arial" w:hAnsi="Arial" w:cs="Times New Roman"/>
      <w:sz w:val="18"/>
      <w:szCs w:val="20"/>
      <w:lang w:val="nl-NL" w:eastAsia="nl-BE"/>
    </w:rPr>
  </w:style>
  <w:style w:type="paragraph" w:styleId="Kop1">
    <w:name w:val="heading 1"/>
    <w:basedOn w:val="Standaard"/>
    <w:next w:val="Standaard"/>
    <w:link w:val="Kop1Char"/>
    <w:rsid w:val="00266BEF"/>
    <w:pPr>
      <w:keepNext/>
      <w:outlineLvl w:val="0"/>
    </w:pPr>
    <w:rPr>
      <w:rFonts w:cs="Arial"/>
      <w:b/>
      <w:bCs/>
      <w:color w:val="1E64C8"/>
      <w:kern w:val="32"/>
      <w:sz w:val="32"/>
      <w:szCs w:val="32"/>
    </w:rPr>
  </w:style>
  <w:style w:type="paragraph" w:styleId="Kop2">
    <w:name w:val="heading 2"/>
    <w:basedOn w:val="Standaard"/>
    <w:next w:val="Standaard"/>
    <w:link w:val="Kop2Char"/>
    <w:uiPriority w:val="9"/>
    <w:unhideWhenUsed/>
    <w:rsid w:val="00266BEF"/>
    <w:pPr>
      <w:keepNext/>
      <w:keepLines/>
      <w:spacing w:before="40"/>
      <w:outlineLvl w:val="1"/>
    </w:pPr>
    <w:rPr>
      <w:rFonts w:eastAsiaTheme="majorEastAsia" w:cstheme="majorBidi"/>
      <w:color w:val="1E64C8"/>
      <w:sz w:val="24"/>
      <w:szCs w:val="26"/>
    </w:rPr>
  </w:style>
  <w:style w:type="paragraph" w:styleId="Kop3">
    <w:name w:val="heading 3"/>
    <w:basedOn w:val="Standaard"/>
    <w:next w:val="Standaard"/>
    <w:link w:val="Kop3Char"/>
    <w:rsid w:val="00266BEF"/>
    <w:pPr>
      <w:keepNext/>
      <w:outlineLvl w:val="2"/>
    </w:pPr>
    <w:rPr>
      <w:b/>
      <w:snapToGrid w:val="0"/>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CC6EE8"/>
    <w:pPr>
      <w:tabs>
        <w:tab w:val="center" w:pos="4536"/>
        <w:tab w:val="right" w:pos="9072"/>
      </w:tabs>
      <w:spacing w:line="220" w:lineRule="exact"/>
    </w:pPr>
    <w:rPr>
      <w:color w:val="97999B" w:themeColor="background2"/>
      <w:sz w:val="16"/>
      <w:szCs w:val="18"/>
    </w:rPr>
  </w:style>
  <w:style w:type="character" w:customStyle="1" w:styleId="VoettekstChar">
    <w:name w:val="Voettekst Char"/>
    <w:basedOn w:val="Standaardalinea-lettertype"/>
    <w:link w:val="Voettekst"/>
    <w:uiPriority w:val="99"/>
    <w:rsid w:val="00CC6EE8"/>
    <w:rPr>
      <w:rFonts w:ascii="Arial" w:hAnsi="Arial" w:cs="Times New Roman"/>
      <w:color w:val="97999B" w:themeColor="background2"/>
      <w:sz w:val="16"/>
      <w:szCs w:val="18"/>
      <w:lang w:val="nl-NL" w:eastAsia="nl-BE"/>
    </w:rPr>
  </w:style>
  <w:style w:type="character" w:customStyle="1" w:styleId="Kop1Char">
    <w:name w:val="Kop 1 Char"/>
    <w:basedOn w:val="Standaardalinea-lettertype"/>
    <w:link w:val="Kop1"/>
    <w:rsid w:val="00266BEF"/>
    <w:rPr>
      <w:rFonts w:ascii="Arial" w:eastAsia="Times New Roman" w:hAnsi="Arial" w:cs="Arial"/>
      <w:b/>
      <w:bCs/>
      <w:color w:val="1E64C8"/>
      <w:kern w:val="32"/>
      <w:sz w:val="32"/>
      <w:szCs w:val="32"/>
      <w:lang w:val="nl-NL" w:eastAsia="nl-BE"/>
    </w:rPr>
  </w:style>
  <w:style w:type="character" w:customStyle="1" w:styleId="Kop2Char">
    <w:name w:val="Kop 2 Char"/>
    <w:basedOn w:val="Standaardalinea-lettertype"/>
    <w:link w:val="Kop2"/>
    <w:uiPriority w:val="9"/>
    <w:rsid w:val="00266BEF"/>
    <w:rPr>
      <w:rFonts w:ascii="Arial" w:eastAsiaTheme="majorEastAsia" w:hAnsi="Arial" w:cstheme="majorBidi"/>
      <w:color w:val="1E64C8"/>
      <w:sz w:val="24"/>
      <w:szCs w:val="26"/>
      <w:lang w:val="nl-NL" w:eastAsia="nl-BE"/>
    </w:rPr>
  </w:style>
  <w:style w:type="character" w:customStyle="1" w:styleId="Kop3Char">
    <w:name w:val="Kop 3 Char"/>
    <w:basedOn w:val="Standaardalinea-lettertype"/>
    <w:link w:val="Kop3"/>
    <w:rsid w:val="00266BEF"/>
    <w:rPr>
      <w:rFonts w:ascii="Arial" w:eastAsia="Times New Roman" w:hAnsi="Arial" w:cs="Times New Roman"/>
      <w:b/>
      <w:snapToGrid w:val="0"/>
      <w:sz w:val="24"/>
      <w:szCs w:val="20"/>
      <w:lang w:eastAsia="nl-BE"/>
    </w:rPr>
  </w:style>
  <w:style w:type="paragraph" w:styleId="Geenafstand">
    <w:name w:val="No Spacing"/>
    <w:uiPriority w:val="1"/>
    <w:rsid w:val="000F3C51"/>
    <w:pPr>
      <w:spacing w:after="0" w:line="240" w:lineRule="auto"/>
    </w:pPr>
    <w:rPr>
      <w:rFonts w:ascii="Arial" w:hAnsi="Arial" w:cs="Times New Roman"/>
      <w:sz w:val="18"/>
      <w:szCs w:val="20"/>
      <w:lang w:val="nl-NL" w:eastAsia="nl-BE"/>
    </w:rPr>
  </w:style>
  <w:style w:type="paragraph" w:styleId="Lijstalinea">
    <w:name w:val="List Paragraph"/>
    <w:basedOn w:val="Standaard"/>
    <w:uiPriority w:val="34"/>
    <w:rsid w:val="000F3C51"/>
    <w:pPr>
      <w:ind w:left="720"/>
      <w:contextualSpacing/>
    </w:pPr>
  </w:style>
  <w:style w:type="paragraph" w:styleId="Koptekst">
    <w:name w:val="header"/>
    <w:basedOn w:val="Standaard"/>
    <w:link w:val="KoptekstChar"/>
    <w:uiPriority w:val="99"/>
    <w:unhideWhenUsed/>
    <w:rsid w:val="00CC6EE8"/>
    <w:pPr>
      <w:tabs>
        <w:tab w:val="center" w:pos="4536"/>
        <w:tab w:val="right" w:pos="9072"/>
      </w:tabs>
    </w:pPr>
  </w:style>
  <w:style w:type="character" w:customStyle="1" w:styleId="KoptekstChar">
    <w:name w:val="Koptekst Char"/>
    <w:basedOn w:val="Standaardalinea-lettertype"/>
    <w:link w:val="Koptekst"/>
    <w:uiPriority w:val="99"/>
    <w:rsid w:val="00CC6EE8"/>
    <w:rPr>
      <w:rFonts w:ascii="Arial" w:hAnsi="Arial" w:cs="Times New Roman"/>
      <w:sz w:val="18"/>
      <w:szCs w:val="20"/>
      <w:lang w:val="nl-NL" w:eastAsia="nl-BE"/>
    </w:rPr>
  </w:style>
  <w:style w:type="table" w:styleId="Tabelraster">
    <w:name w:val="Table Grid"/>
    <w:basedOn w:val="Standaardtabel"/>
    <w:uiPriority w:val="39"/>
    <w:rsid w:val="00573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VSGreferenties">
    <w:name w:val="VVSG_referenties"/>
    <w:basedOn w:val="Standaard"/>
    <w:qFormat/>
    <w:rsid w:val="00BD7B19"/>
    <w:pPr>
      <w:framePr w:hSpace="142" w:wrap="around" w:vAnchor="page" w:hAnchor="page" w:y="1"/>
      <w:spacing w:line="288" w:lineRule="auto"/>
      <w:suppressOverlap/>
    </w:pPr>
    <w:rPr>
      <w:color w:val="53565A" w:themeColor="text2"/>
      <w:sz w:val="16"/>
      <w:szCs w:val="18"/>
      <w:lang w:val="nl-BE"/>
    </w:rPr>
  </w:style>
  <w:style w:type="paragraph" w:customStyle="1" w:styleId="VVSGreferentiesvet">
    <w:name w:val="VVSG_referenties_vet"/>
    <w:basedOn w:val="VVSGreferenties"/>
    <w:qFormat/>
    <w:rsid w:val="00FA2B4A"/>
    <w:pPr>
      <w:framePr w:wrap="around"/>
    </w:pPr>
    <w:rPr>
      <w:b/>
      <w:bCs/>
    </w:rPr>
  </w:style>
  <w:style w:type="character" w:styleId="Tekstvantijdelijkeaanduiding">
    <w:name w:val="Placeholder Text"/>
    <w:basedOn w:val="Standaardalinea-lettertype"/>
    <w:uiPriority w:val="99"/>
    <w:semiHidden/>
    <w:rsid w:val="00FA2B4A"/>
    <w:rPr>
      <w:color w:val="808080"/>
    </w:rPr>
  </w:style>
  <w:style w:type="paragraph" w:customStyle="1" w:styleId="VVSGAdresvak">
    <w:name w:val="VVSG_Adresvak"/>
    <w:basedOn w:val="Standaard"/>
    <w:qFormat/>
    <w:rsid w:val="00922427"/>
    <w:pPr>
      <w:framePr w:hSpace="142" w:wrap="around" w:vAnchor="page" w:hAnchor="page" w:y="1"/>
      <w:spacing w:line="288" w:lineRule="auto"/>
      <w:suppressOverlap/>
    </w:pPr>
    <w:rPr>
      <w:color w:val="53565A" w:themeColor="text2"/>
      <w:sz w:val="20"/>
      <w:szCs w:val="22"/>
      <w:lang w:val="nl-BE"/>
    </w:rPr>
  </w:style>
  <w:style w:type="paragraph" w:customStyle="1" w:styleId="VVSGOnderwerp">
    <w:name w:val="VVSG_Onderwerp"/>
    <w:basedOn w:val="Standaard"/>
    <w:qFormat/>
    <w:rsid w:val="00A83758"/>
    <w:pPr>
      <w:spacing w:before="500"/>
    </w:pPr>
    <w:rPr>
      <w:b/>
      <w:bCs/>
      <w:color w:val="000000" w:themeColor="text1"/>
      <w:sz w:val="32"/>
      <w:szCs w:val="25"/>
      <w:lang w:val="nl-BE"/>
    </w:rPr>
  </w:style>
  <w:style w:type="paragraph" w:customStyle="1" w:styleId="VVSGBodytekst">
    <w:name w:val="VVSG_Bodytekst"/>
    <w:basedOn w:val="Standaard"/>
    <w:qFormat/>
    <w:rsid w:val="00516B67"/>
    <w:pPr>
      <w:spacing w:line="293" w:lineRule="auto"/>
    </w:pPr>
    <w:rPr>
      <w:color w:val="53565A" w:themeColor="text2"/>
      <w:sz w:val="20"/>
      <w:szCs w:val="22"/>
      <w:lang w:val="nl-BE"/>
    </w:rPr>
  </w:style>
  <w:style w:type="numbering" w:customStyle="1" w:styleId="VVSGtitels">
    <w:name w:val="VVSG_titels"/>
    <w:uiPriority w:val="99"/>
    <w:rsid w:val="00482C9E"/>
    <w:pPr>
      <w:numPr>
        <w:numId w:val="3"/>
      </w:numPr>
    </w:pPr>
  </w:style>
  <w:style w:type="paragraph" w:customStyle="1" w:styleId="VVSGTitel1">
    <w:name w:val="VVSG_Titel1"/>
    <w:basedOn w:val="VVSGBodytekst"/>
    <w:qFormat/>
    <w:rsid w:val="00AA4D6A"/>
    <w:pPr>
      <w:numPr>
        <w:numId w:val="17"/>
      </w:numPr>
      <w:spacing w:before="360" w:after="120" w:line="240" w:lineRule="auto"/>
      <w:ind w:left="0" w:hanging="312"/>
      <w:outlineLvl w:val="0"/>
    </w:pPr>
    <w:rPr>
      <w:b/>
      <w:bCs/>
      <w:color w:val="43B02A" w:themeColor="accent1"/>
      <w:sz w:val="26"/>
      <w:szCs w:val="26"/>
    </w:rPr>
  </w:style>
  <w:style w:type="paragraph" w:customStyle="1" w:styleId="VVSGTitel2">
    <w:name w:val="VVSG_Titel2"/>
    <w:basedOn w:val="VVSGTitel1"/>
    <w:qFormat/>
    <w:rsid w:val="00AA4D6A"/>
    <w:pPr>
      <w:numPr>
        <w:ilvl w:val="1"/>
      </w:numPr>
      <w:spacing w:before="240" w:after="0"/>
      <w:ind w:left="0" w:hanging="510"/>
      <w:outlineLvl w:val="1"/>
    </w:pPr>
    <w:rPr>
      <w:color w:val="53565A" w:themeColor="text2"/>
      <w:sz w:val="24"/>
    </w:rPr>
  </w:style>
  <w:style w:type="paragraph" w:customStyle="1" w:styleId="VVSGTitel3">
    <w:name w:val="VVSG_Titel3"/>
    <w:basedOn w:val="VVSGBodytekst"/>
    <w:qFormat/>
    <w:rsid w:val="00AA4D6A"/>
    <w:pPr>
      <w:numPr>
        <w:ilvl w:val="2"/>
        <w:numId w:val="17"/>
      </w:numPr>
      <w:spacing w:before="120" w:line="240" w:lineRule="auto"/>
      <w:ind w:left="0" w:hanging="680"/>
      <w:outlineLvl w:val="2"/>
    </w:pPr>
    <w:rPr>
      <w:b/>
      <w:bCs/>
      <w:sz w:val="22"/>
      <w:szCs w:val="24"/>
    </w:rPr>
  </w:style>
  <w:style w:type="paragraph" w:customStyle="1" w:styleId="VVSGBodyOpsom">
    <w:name w:val="VVSG_Body_Opsom"/>
    <w:basedOn w:val="VVSGBodytekst"/>
    <w:qFormat/>
    <w:rsid w:val="000D1B9D"/>
    <w:pPr>
      <w:numPr>
        <w:numId w:val="15"/>
      </w:numPr>
      <w:ind w:left="284" w:hanging="284"/>
    </w:pPr>
  </w:style>
  <w:style w:type="paragraph" w:customStyle="1" w:styleId="VVSGStreamer">
    <w:name w:val="VVSG_Streamer"/>
    <w:basedOn w:val="VVSGBodytekst"/>
    <w:qFormat/>
    <w:rsid w:val="00516B67"/>
    <w:pPr>
      <w:spacing w:line="264" w:lineRule="auto"/>
    </w:pPr>
    <w:rPr>
      <w:color w:val="43B02A" w:themeColor="accent1"/>
      <w:sz w:val="28"/>
      <w:szCs w:val="28"/>
    </w:rPr>
  </w:style>
  <w:style w:type="paragraph" w:customStyle="1" w:styleId="VVSGBodytekstvet">
    <w:name w:val="VVSG_Bodytekst_vet"/>
    <w:basedOn w:val="VVSGBodytekst"/>
    <w:qFormat/>
    <w:rsid w:val="000D0025"/>
    <w:rPr>
      <w:b/>
      <w:bCs/>
    </w:rPr>
  </w:style>
  <w:style w:type="paragraph" w:customStyle="1" w:styleId="VVSGBodyOpsomInsprong">
    <w:name w:val="VVSG_Body_Opsom_Insprong"/>
    <w:basedOn w:val="VVSGBodyOpsom"/>
    <w:qFormat/>
    <w:rsid w:val="000C58BD"/>
    <w:pPr>
      <w:ind w:left="894"/>
    </w:pPr>
  </w:style>
  <w:style w:type="numbering" w:customStyle="1" w:styleId="VVSGTitels0">
    <w:name w:val="VVSG_Titels"/>
    <w:uiPriority w:val="99"/>
    <w:rsid w:val="00AA4D6A"/>
    <w:pPr>
      <w:numPr>
        <w:numId w:val="17"/>
      </w:numPr>
    </w:pPr>
  </w:style>
  <w:style w:type="paragraph" w:customStyle="1" w:styleId="VVSGBodyNummeringInsprong">
    <w:name w:val="VVSG_Body_Nummering_Insprong"/>
    <w:basedOn w:val="VVSGBodyOpsomInsprong"/>
    <w:qFormat/>
    <w:rsid w:val="000D1B9D"/>
    <w:pPr>
      <w:numPr>
        <w:numId w:val="21"/>
      </w:numPr>
      <w:ind w:left="896" w:hanging="284"/>
    </w:pPr>
  </w:style>
  <w:style w:type="paragraph" w:customStyle="1" w:styleId="VVSGBodyNummering">
    <w:name w:val="VVSG_Body_Nummering"/>
    <w:basedOn w:val="Standaard"/>
    <w:qFormat/>
    <w:rsid w:val="000D1B9D"/>
    <w:pPr>
      <w:numPr>
        <w:numId w:val="20"/>
      </w:numPr>
      <w:spacing w:line="293" w:lineRule="auto"/>
      <w:ind w:left="284" w:hanging="284"/>
    </w:pPr>
    <w:rPr>
      <w:color w:val="53565A" w:themeColor="text2"/>
      <w:sz w:val="20"/>
      <w:szCs w:val="22"/>
      <w:lang w:val="nl-BE"/>
    </w:rPr>
  </w:style>
  <w:style w:type="paragraph" w:customStyle="1" w:styleId="VVSGStreamerInsprong">
    <w:name w:val="VVSG_Streamer_Insprong"/>
    <w:basedOn w:val="VVSGStreamer"/>
    <w:qFormat/>
    <w:rsid w:val="00A83758"/>
    <w:pPr>
      <w:ind w:left="893"/>
    </w:pPr>
  </w:style>
  <w:style w:type="paragraph" w:styleId="Voetnoottekst">
    <w:name w:val="footnote text"/>
    <w:basedOn w:val="Standaard"/>
    <w:link w:val="VoetnoottekstChar"/>
    <w:semiHidden/>
    <w:rsid w:val="004D05D8"/>
    <w:rPr>
      <w:rFonts w:ascii="Arial Narrow" w:hAnsi="Arial Narrow"/>
      <w:sz w:val="20"/>
      <w:lang w:val="nl-BE" w:eastAsia="nl-NL"/>
    </w:rPr>
  </w:style>
  <w:style w:type="character" w:customStyle="1" w:styleId="VoetnoottekstChar">
    <w:name w:val="Voetnoottekst Char"/>
    <w:basedOn w:val="Standaardalinea-lettertype"/>
    <w:link w:val="Voetnoottekst"/>
    <w:semiHidden/>
    <w:rsid w:val="004D05D8"/>
    <w:rPr>
      <w:rFonts w:ascii="Arial Narrow" w:hAnsi="Arial Narrow" w:cs="Times New Roman"/>
      <w:sz w:val="20"/>
      <w:szCs w:val="20"/>
      <w:lang w:eastAsia="nl-NL"/>
    </w:rPr>
  </w:style>
  <w:style w:type="character" w:styleId="Voetnootmarkering">
    <w:name w:val="footnote reference"/>
    <w:basedOn w:val="Standaardalinea-lettertype"/>
    <w:semiHidden/>
    <w:rsid w:val="004D05D8"/>
    <w:rPr>
      <w:vertAlign w:val="superscript"/>
    </w:rPr>
  </w:style>
  <w:style w:type="character" w:styleId="Hyperlink">
    <w:name w:val="Hyperlink"/>
    <w:basedOn w:val="Standaardalinea-lettertype"/>
    <w:rsid w:val="004D05D8"/>
    <w:rPr>
      <w:color w:val="0000FF"/>
      <w:u w:val="single"/>
    </w:rPr>
  </w:style>
  <w:style w:type="character" w:styleId="Onopgelostemelding">
    <w:name w:val="Unresolved Mention"/>
    <w:basedOn w:val="Standaardalinea-lettertype"/>
    <w:uiPriority w:val="99"/>
    <w:semiHidden/>
    <w:unhideWhenUsed/>
    <w:rsid w:val="004D0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cr\OneDrive%20-%20vvsg.be\Bureaublad\Sjablonen%202021\VVSG_Nota_met_logo_GroeneLijn_sjablo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07957B5B035457481451D0D2155CAE0"/>
        <w:category>
          <w:name w:val="Algemeen"/>
          <w:gallery w:val="placeholder"/>
        </w:category>
        <w:types>
          <w:type w:val="bbPlcHdr"/>
        </w:types>
        <w:behaviors>
          <w:behavior w:val="content"/>
        </w:behaviors>
        <w:guid w:val="{EDF55BC6-F789-46F7-8D4A-9738C416B56B}"/>
      </w:docPartPr>
      <w:docPartBody>
        <w:p w:rsidR="00780257" w:rsidRDefault="00780257">
          <w:pPr>
            <w:pStyle w:val="A07957B5B035457481451D0D2155CAE0"/>
          </w:pPr>
          <w:r w:rsidRPr="000A2112">
            <w:rPr>
              <w:rStyle w:val="Tekstvantijdelijkeaanduiding"/>
            </w:rPr>
            <w:t>K</w:t>
          </w:r>
          <w:r>
            <w:rPr>
              <w:rStyle w:val="Tekstvantijdelijkeaanduiding"/>
            </w:rPr>
            <w:t xml:space="preserve">ies </w:t>
          </w:r>
          <w:r w:rsidRPr="000A2112">
            <w:rPr>
              <w:rStyle w:val="Tekstvantijdelijkeaanduiding"/>
            </w:rPr>
            <w:t>een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o Hew">
    <w:charset w:val="00"/>
    <w:family w:val="auto"/>
    <w:pitch w:val="variable"/>
    <w:sig w:usb0="A000002F" w:usb1="500160FB" w:usb2="0000001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257"/>
    <w:rsid w:val="0069253F"/>
    <w:rsid w:val="00780257"/>
    <w:rsid w:val="007A7D2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A07957B5B035457481451D0D2155CAE0">
    <w:name w:val="A07957B5B035457481451D0D2155C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VVSG">
      <a:dk1>
        <a:sysClr val="windowText" lastClr="000000"/>
      </a:dk1>
      <a:lt1>
        <a:sysClr val="window" lastClr="FFFFFF"/>
      </a:lt1>
      <a:dk2>
        <a:srgbClr val="53565A"/>
      </a:dk2>
      <a:lt2>
        <a:srgbClr val="97999B"/>
      </a:lt2>
      <a:accent1>
        <a:srgbClr val="43B02A"/>
      </a:accent1>
      <a:accent2>
        <a:srgbClr val="E03C31"/>
      </a:accent2>
      <a:accent3>
        <a:srgbClr val="702082"/>
      </a:accent3>
      <a:accent4>
        <a:srgbClr val="C6007E"/>
      </a:accent4>
      <a:accent5>
        <a:srgbClr val="53565A"/>
      </a:accent5>
      <a:accent6>
        <a:srgbClr val="97999B"/>
      </a:accent6>
      <a:hlink>
        <a:srgbClr val="000000"/>
      </a:hlink>
      <a:folHlink>
        <a:srgbClr val="000000"/>
      </a:folHlink>
    </a:clrScheme>
    <a:fontScheme name="VVSG">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9122E7B53D8948B3A6E392A8561F1D" ma:contentTypeVersion="8" ma:contentTypeDescription="Een nieuw document maken." ma:contentTypeScope="" ma:versionID="05461d58f208824d5f90224c5f036417">
  <xsd:schema xmlns:xsd="http://www.w3.org/2001/XMLSchema" xmlns:xs="http://www.w3.org/2001/XMLSchema" xmlns:p="http://schemas.microsoft.com/office/2006/metadata/properties" xmlns:ns2="dc1abfb6-379a-4558-a2dc-e2f7db11c9ab" targetNamespace="http://schemas.microsoft.com/office/2006/metadata/properties" ma:root="true" ma:fieldsID="19fbeba848a451388a191d14e97b6cdf" ns2:_="">
    <xsd:import namespace="dc1abfb6-379a-4558-a2dc-e2f7db11c9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bfb6-379a-4558-a2dc-e2f7db11c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568F17-6F8D-4C3E-BA84-8040EDA84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abfb6-379a-4558-a2dc-e2f7db11c9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D940BB-F216-439D-9D88-CC36B4F311B4}">
  <ds:schemaRefs>
    <ds:schemaRef ds:uri="http://schemas.microsoft.com/sharepoint/v3/contenttype/forms"/>
  </ds:schemaRefs>
</ds:datastoreItem>
</file>

<file path=customXml/itemProps3.xml><?xml version="1.0" encoding="utf-8"?>
<ds:datastoreItem xmlns:ds="http://schemas.openxmlformats.org/officeDocument/2006/customXml" ds:itemID="{0BA312F4-2D79-49AB-96FD-986A272CFC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VVSG_Nota_met_logo_GroeneLijn_sjabloon</Template>
  <TotalTime>0</TotalTime>
  <Pages>6</Pages>
  <Words>2198</Words>
  <Characters>12090</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Crauwels Fabienne</dc:creator>
  <cp:keywords/>
  <dc:description/>
  <cp:lastModifiedBy>Crauwels Fabienne</cp:lastModifiedBy>
  <cp:revision>91</cp:revision>
  <cp:lastPrinted>2021-10-05T16:04:00Z</cp:lastPrinted>
  <dcterms:created xsi:type="dcterms:W3CDTF">2024-07-04T16:51:00Z</dcterms:created>
  <dcterms:modified xsi:type="dcterms:W3CDTF">2024-07-10T13:28:00Z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0x010100FD9122E7B53D8948B3A6E392A8561F1D</vt:lpwstr>
  </property>
</Properties>
</file>