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1571" w14:textId="77777777" w:rsidR="001D676E" w:rsidRDefault="001D676E" w:rsidP="00255ABE">
      <w:pPr>
        <w:pStyle w:val="Titel"/>
      </w:pPr>
    </w:p>
    <w:p w14:paraId="5DACFC88" w14:textId="196AE91C" w:rsidR="0089225C" w:rsidRDefault="00B0666F" w:rsidP="00255ABE">
      <w:pPr>
        <w:pStyle w:val="Titel"/>
      </w:pPr>
      <w:r>
        <w:t xml:space="preserve">Samen personeel aanwerven of </w:t>
      </w:r>
      <w:r w:rsidR="00F00E21">
        <w:t>inzetten bij</w:t>
      </w:r>
      <w:r>
        <w:t xml:space="preserve"> lokale besturen</w:t>
      </w:r>
    </w:p>
    <w:p w14:paraId="65CC77B6" w14:textId="387B9E49" w:rsidR="000E144F" w:rsidRPr="000E144F" w:rsidRDefault="0089225C" w:rsidP="000E144F">
      <w:pPr>
        <w:pStyle w:val="Beschrijving"/>
      </w:pPr>
      <w:r>
        <w:t>Nota Marijke De Lange</w:t>
      </w:r>
      <w:r w:rsidR="00F93C06">
        <w:t>, met medewerking van</w:t>
      </w:r>
      <w:r w:rsidR="002F1D95">
        <w:t xml:space="preserve"> Katleen Janssens</w:t>
      </w:r>
      <w:r w:rsidR="00F93C06">
        <w:t>,</w:t>
      </w:r>
      <w:r w:rsidR="002F1D95">
        <w:t xml:space="preserve"> </w:t>
      </w:r>
      <w:r w:rsidR="00317963">
        <w:t>26</w:t>
      </w:r>
      <w:r w:rsidR="00155DAA">
        <w:t xml:space="preserve"> maart 2026</w:t>
      </w:r>
    </w:p>
    <w:sdt>
      <w:sdtPr>
        <w:rPr>
          <w:rFonts w:ascii="Arial" w:hAnsi="Arial"/>
          <w:b w:val="0"/>
          <w:bCs w:val="0"/>
          <w:color w:val="585849"/>
          <w:sz w:val="20"/>
          <w:szCs w:val="12"/>
          <w:lang w:val="nl-NL" w:eastAsia="nl-NL"/>
        </w:rPr>
        <w:id w:val="1410499004"/>
        <w:docPartObj>
          <w:docPartGallery w:val="Table of Contents"/>
          <w:docPartUnique/>
        </w:docPartObj>
      </w:sdtPr>
      <w:sdtEndPr/>
      <w:sdtContent>
        <w:p w14:paraId="70196871" w14:textId="39DE8E63" w:rsidR="000E144F" w:rsidRDefault="000E144F">
          <w:pPr>
            <w:pStyle w:val="Kopvaninhoudsopgave"/>
          </w:pPr>
          <w:r>
            <w:rPr>
              <w:lang w:val="nl-NL"/>
            </w:rPr>
            <w:t>Inhoud</w:t>
          </w:r>
        </w:p>
        <w:p w14:paraId="016DB142" w14:textId="441E2054" w:rsidR="00B5458B" w:rsidRDefault="000E144F">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r>
            <w:fldChar w:fldCharType="begin"/>
          </w:r>
          <w:r>
            <w:instrText xml:space="preserve"> TOC \o "1-3" \h \z \u </w:instrText>
          </w:r>
          <w:r>
            <w:fldChar w:fldCharType="separate"/>
          </w:r>
          <w:hyperlink w:anchor="_Toc223624603" w:history="1">
            <w:r w:rsidR="00B5458B" w:rsidRPr="009367D9">
              <w:rPr>
                <w:rStyle w:val="Hyperlink"/>
                <w:noProof/>
              </w:rPr>
              <w:t>1 Samenvatting</w:t>
            </w:r>
            <w:r w:rsidR="00B5458B">
              <w:rPr>
                <w:noProof/>
                <w:webHidden/>
              </w:rPr>
              <w:tab/>
            </w:r>
            <w:r w:rsidR="00B5458B">
              <w:rPr>
                <w:noProof/>
                <w:webHidden/>
              </w:rPr>
              <w:fldChar w:fldCharType="begin"/>
            </w:r>
            <w:r w:rsidR="00B5458B">
              <w:rPr>
                <w:noProof/>
                <w:webHidden/>
              </w:rPr>
              <w:instrText xml:space="preserve"> PAGEREF _Toc223624603 \h </w:instrText>
            </w:r>
            <w:r w:rsidR="00B5458B">
              <w:rPr>
                <w:noProof/>
                <w:webHidden/>
              </w:rPr>
            </w:r>
            <w:r w:rsidR="00B5458B">
              <w:rPr>
                <w:noProof/>
                <w:webHidden/>
              </w:rPr>
              <w:fldChar w:fldCharType="separate"/>
            </w:r>
            <w:r w:rsidR="00B5458B">
              <w:rPr>
                <w:noProof/>
                <w:webHidden/>
              </w:rPr>
              <w:t>1</w:t>
            </w:r>
            <w:r w:rsidR="00B5458B">
              <w:rPr>
                <w:noProof/>
                <w:webHidden/>
              </w:rPr>
              <w:fldChar w:fldCharType="end"/>
            </w:r>
          </w:hyperlink>
        </w:p>
        <w:p w14:paraId="6835F42F" w14:textId="528FEC9E" w:rsidR="00B5458B" w:rsidRDefault="00B5458B">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04" w:history="1">
            <w:r w:rsidRPr="009367D9">
              <w:rPr>
                <w:rStyle w:val="Hyperlink"/>
                <w:noProof/>
                <w:lang w:val="nl-NL"/>
              </w:rPr>
              <w:t>2 Uitlenen van een personeelslid</w:t>
            </w:r>
            <w:r>
              <w:rPr>
                <w:noProof/>
                <w:webHidden/>
              </w:rPr>
              <w:tab/>
            </w:r>
            <w:r>
              <w:rPr>
                <w:noProof/>
                <w:webHidden/>
              </w:rPr>
              <w:fldChar w:fldCharType="begin"/>
            </w:r>
            <w:r>
              <w:rPr>
                <w:noProof/>
                <w:webHidden/>
              </w:rPr>
              <w:instrText xml:space="preserve"> PAGEREF _Toc223624604 \h </w:instrText>
            </w:r>
            <w:r>
              <w:rPr>
                <w:noProof/>
                <w:webHidden/>
              </w:rPr>
            </w:r>
            <w:r>
              <w:rPr>
                <w:noProof/>
                <w:webHidden/>
              </w:rPr>
              <w:fldChar w:fldCharType="separate"/>
            </w:r>
            <w:r>
              <w:rPr>
                <w:noProof/>
                <w:webHidden/>
              </w:rPr>
              <w:t>2</w:t>
            </w:r>
            <w:r>
              <w:rPr>
                <w:noProof/>
                <w:webHidden/>
              </w:rPr>
              <w:fldChar w:fldCharType="end"/>
            </w:r>
          </w:hyperlink>
        </w:p>
        <w:p w14:paraId="78E5ACA7" w14:textId="0EBD8903" w:rsidR="00B5458B" w:rsidRDefault="00B5458B">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05" w:history="1">
            <w:r w:rsidRPr="009367D9">
              <w:rPr>
                <w:rStyle w:val="Hyperlink"/>
                <w:noProof/>
                <w:lang w:val="nl-NL"/>
              </w:rPr>
              <w:t>3 Terbeschikkingstelling</w:t>
            </w:r>
            <w:r>
              <w:rPr>
                <w:noProof/>
                <w:webHidden/>
              </w:rPr>
              <w:tab/>
            </w:r>
            <w:r>
              <w:rPr>
                <w:noProof/>
                <w:webHidden/>
              </w:rPr>
              <w:fldChar w:fldCharType="begin"/>
            </w:r>
            <w:r>
              <w:rPr>
                <w:noProof/>
                <w:webHidden/>
              </w:rPr>
              <w:instrText xml:space="preserve"> PAGEREF _Toc223624605 \h </w:instrText>
            </w:r>
            <w:r>
              <w:rPr>
                <w:noProof/>
                <w:webHidden/>
              </w:rPr>
            </w:r>
            <w:r>
              <w:rPr>
                <w:noProof/>
                <w:webHidden/>
              </w:rPr>
              <w:fldChar w:fldCharType="separate"/>
            </w:r>
            <w:r>
              <w:rPr>
                <w:noProof/>
                <w:webHidden/>
              </w:rPr>
              <w:t>4</w:t>
            </w:r>
            <w:r>
              <w:rPr>
                <w:noProof/>
                <w:webHidden/>
              </w:rPr>
              <w:fldChar w:fldCharType="end"/>
            </w:r>
          </w:hyperlink>
        </w:p>
        <w:p w14:paraId="1E1D7875" w14:textId="1BDBDBD5" w:rsidR="00B5458B" w:rsidRDefault="00B5458B">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06" w:history="1">
            <w:r w:rsidRPr="009367D9">
              <w:rPr>
                <w:rStyle w:val="Hyperlink"/>
                <w:noProof/>
                <w:lang w:val="nl-NL"/>
              </w:rPr>
              <w:t>4 Tijdelijk stopzetten arbeidsprestaties bij het eerste lokaal bestuur om ondertussen bij een tweede lokaal bestuur te gaan werken</w:t>
            </w:r>
            <w:r>
              <w:rPr>
                <w:noProof/>
                <w:webHidden/>
              </w:rPr>
              <w:tab/>
            </w:r>
            <w:r>
              <w:rPr>
                <w:noProof/>
                <w:webHidden/>
              </w:rPr>
              <w:fldChar w:fldCharType="begin"/>
            </w:r>
            <w:r>
              <w:rPr>
                <w:noProof/>
                <w:webHidden/>
              </w:rPr>
              <w:instrText xml:space="preserve"> PAGEREF _Toc223624606 \h </w:instrText>
            </w:r>
            <w:r>
              <w:rPr>
                <w:noProof/>
                <w:webHidden/>
              </w:rPr>
            </w:r>
            <w:r>
              <w:rPr>
                <w:noProof/>
                <w:webHidden/>
              </w:rPr>
              <w:fldChar w:fldCharType="separate"/>
            </w:r>
            <w:r>
              <w:rPr>
                <w:noProof/>
                <w:webHidden/>
              </w:rPr>
              <w:t>4</w:t>
            </w:r>
            <w:r>
              <w:rPr>
                <w:noProof/>
                <w:webHidden/>
              </w:rPr>
              <w:fldChar w:fldCharType="end"/>
            </w:r>
          </w:hyperlink>
        </w:p>
        <w:p w14:paraId="6BA2E8A8" w14:textId="2FB4B5C4" w:rsidR="00B5458B" w:rsidRDefault="00B5458B">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07" w:history="1">
            <w:r w:rsidRPr="009367D9">
              <w:rPr>
                <w:rStyle w:val="Hyperlink"/>
                <w:noProof/>
                <w:lang w:val="nl-NL"/>
              </w:rPr>
              <w:t>5 Personeelslid van ander lokaal bestuur aanwerven na procedure van externe personeelsmobiliteit</w:t>
            </w:r>
            <w:r>
              <w:rPr>
                <w:noProof/>
                <w:webHidden/>
              </w:rPr>
              <w:tab/>
            </w:r>
            <w:r>
              <w:rPr>
                <w:noProof/>
                <w:webHidden/>
              </w:rPr>
              <w:fldChar w:fldCharType="begin"/>
            </w:r>
            <w:r>
              <w:rPr>
                <w:noProof/>
                <w:webHidden/>
              </w:rPr>
              <w:instrText xml:space="preserve"> PAGEREF _Toc223624607 \h </w:instrText>
            </w:r>
            <w:r>
              <w:rPr>
                <w:noProof/>
                <w:webHidden/>
              </w:rPr>
            </w:r>
            <w:r>
              <w:rPr>
                <w:noProof/>
                <w:webHidden/>
              </w:rPr>
              <w:fldChar w:fldCharType="separate"/>
            </w:r>
            <w:r>
              <w:rPr>
                <w:noProof/>
                <w:webHidden/>
              </w:rPr>
              <w:t>4</w:t>
            </w:r>
            <w:r>
              <w:rPr>
                <w:noProof/>
                <w:webHidden/>
              </w:rPr>
              <w:fldChar w:fldCharType="end"/>
            </w:r>
          </w:hyperlink>
        </w:p>
        <w:p w14:paraId="63C47229" w14:textId="252AE305" w:rsidR="00B5458B" w:rsidRDefault="00B5458B">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08" w:history="1">
            <w:r w:rsidRPr="009367D9">
              <w:rPr>
                <w:rStyle w:val="Hyperlink"/>
                <w:noProof/>
                <w:lang w:val="nl-NL"/>
              </w:rPr>
              <w:t>6 Overdracht naar een ander lokaal bestuur</w:t>
            </w:r>
            <w:r>
              <w:rPr>
                <w:noProof/>
                <w:webHidden/>
              </w:rPr>
              <w:tab/>
            </w:r>
            <w:r>
              <w:rPr>
                <w:noProof/>
                <w:webHidden/>
              </w:rPr>
              <w:fldChar w:fldCharType="begin"/>
            </w:r>
            <w:r>
              <w:rPr>
                <w:noProof/>
                <w:webHidden/>
              </w:rPr>
              <w:instrText xml:space="preserve"> PAGEREF _Toc223624608 \h </w:instrText>
            </w:r>
            <w:r>
              <w:rPr>
                <w:noProof/>
                <w:webHidden/>
              </w:rPr>
            </w:r>
            <w:r>
              <w:rPr>
                <w:noProof/>
                <w:webHidden/>
              </w:rPr>
              <w:fldChar w:fldCharType="separate"/>
            </w:r>
            <w:r>
              <w:rPr>
                <w:noProof/>
                <w:webHidden/>
              </w:rPr>
              <w:t>5</w:t>
            </w:r>
            <w:r>
              <w:rPr>
                <w:noProof/>
                <w:webHidden/>
              </w:rPr>
              <w:fldChar w:fldCharType="end"/>
            </w:r>
          </w:hyperlink>
        </w:p>
        <w:p w14:paraId="025C75ED" w14:textId="238F4E13" w:rsidR="00B5458B" w:rsidRDefault="00B5458B">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09" w:history="1">
            <w:r w:rsidRPr="009367D9">
              <w:rPr>
                <w:rStyle w:val="Hyperlink"/>
                <w:noProof/>
                <w:lang w:val="nl-NL"/>
              </w:rPr>
              <w:t>6.1 Overdracht van een individueel personeelslid naar een ander lokaal bestuur</w:t>
            </w:r>
            <w:r>
              <w:rPr>
                <w:noProof/>
                <w:webHidden/>
              </w:rPr>
              <w:tab/>
            </w:r>
            <w:r>
              <w:rPr>
                <w:noProof/>
                <w:webHidden/>
              </w:rPr>
              <w:fldChar w:fldCharType="begin"/>
            </w:r>
            <w:r>
              <w:rPr>
                <w:noProof/>
                <w:webHidden/>
              </w:rPr>
              <w:instrText xml:space="preserve"> PAGEREF _Toc223624609 \h </w:instrText>
            </w:r>
            <w:r>
              <w:rPr>
                <w:noProof/>
                <w:webHidden/>
              </w:rPr>
            </w:r>
            <w:r>
              <w:rPr>
                <w:noProof/>
                <w:webHidden/>
              </w:rPr>
              <w:fldChar w:fldCharType="separate"/>
            </w:r>
            <w:r>
              <w:rPr>
                <w:noProof/>
                <w:webHidden/>
              </w:rPr>
              <w:t>5</w:t>
            </w:r>
            <w:r>
              <w:rPr>
                <w:noProof/>
                <w:webHidden/>
              </w:rPr>
              <w:fldChar w:fldCharType="end"/>
            </w:r>
          </w:hyperlink>
        </w:p>
        <w:p w14:paraId="3024AF35" w14:textId="2C3B4B87" w:rsidR="00B5458B" w:rsidRDefault="00B5458B">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10" w:history="1">
            <w:r w:rsidRPr="009367D9">
              <w:rPr>
                <w:rStyle w:val="Hyperlink"/>
                <w:noProof/>
                <w:lang w:val="nl-NL"/>
              </w:rPr>
              <w:t>6.2 Overdracht van een volledige dienst of afdeling naar een ander lokaal bestuur</w:t>
            </w:r>
            <w:r>
              <w:rPr>
                <w:noProof/>
                <w:webHidden/>
              </w:rPr>
              <w:tab/>
            </w:r>
            <w:r>
              <w:rPr>
                <w:noProof/>
                <w:webHidden/>
              </w:rPr>
              <w:fldChar w:fldCharType="begin"/>
            </w:r>
            <w:r>
              <w:rPr>
                <w:noProof/>
                <w:webHidden/>
              </w:rPr>
              <w:instrText xml:space="preserve"> PAGEREF _Toc223624610 \h </w:instrText>
            </w:r>
            <w:r>
              <w:rPr>
                <w:noProof/>
                <w:webHidden/>
              </w:rPr>
            </w:r>
            <w:r>
              <w:rPr>
                <w:noProof/>
                <w:webHidden/>
              </w:rPr>
              <w:fldChar w:fldCharType="separate"/>
            </w:r>
            <w:r>
              <w:rPr>
                <w:noProof/>
                <w:webHidden/>
              </w:rPr>
              <w:t>8</w:t>
            </w:r>
            <w:r>
              <w:rPr>
                <w:noProof/>
                <w:webHidden/>
              </w:rPr>
              <w:fldChar w:fldCharType="end"/>
            </w:r>
          </w:hyperlink>
        </w:p>
        <w:p w14:paraId="0A62613F" w14:textId="52DEB061" w:rsidR="00B5458B" w:rsidRDefault="00B5458B">
          <w:pPr>
            <w:pStyle w:val="Inhopg3"/>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11" w:history="1">
            <w:r w:rsidRPr="009367D9">
              <w:rPr>
                <w:rStyle w:val="Hyperlink"/>
                <w:noProof/>
                <w:lang w:val="nl-NL"/>
              </w:rPr>
              <w:t>6.2.1 Is de Richtlijn van toepassing?</w:t>
            </w:r>
            <w:r>
              <w:rPr>
                <w:noProof/>
                <w:webHidden/>
              </w:rPr>
              <w:tab/>
            </w:r>
            <w:r>
              <w:rPr>
                <w:noProof/>
                <w:webHidden/>
              </w:rPr>
              <w:fldChar w:fldCharType="begin"/>
            </w:r>
            <w:r>
              <w:rPr>
                <w:noProof/>
                <w:webHidden/>
              </w:rPr>
              <w:instrText xml:space="preserve"> PAGEREF _Toc223624611 \h </w:instrText>
            </w:r>
            <w:r>
              <w:rPr>
                <w:noProof/>
                <w:webHidden/>
              </w:rPr>
            </w:r>
            <w:r>
              <w:rPr>
                <w:noProof/>
                <w:webHidden/>
              </w:rPr>
              <w:fldChar w:fldCharType="separate"/>
            </w:r>
            <w:r>
              <w:rPr>
                <w:noProof/>
                <w:webHidden/>
              </w:rPr>
              <w:t>8</w:t>
            </w:r>
            <w:r>
              <w:rPr>
                <w:noProof/>
                <w:webHidden/>
              </w:rPr>
              <w:fldChar w:fldCharType="end"/>
            </w:r>
          </w:hyperlink>
        </w:p>
        <w:p w14:paraId="7B3961F5" w14:textId="4EF866DE" w:rsidR="00B5458B" w:rsidRDefault="00B5458B">
          <w:pPr>
            <w:pStyle w:val="Inhopg3"/>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12" w:history="1">
            <w:r w:rsidRPr="009367D9">
              <w:rPr>
                <w:rStyle w:val="Hyperlink"/>
                <w:noProof/>
                <w:lang w:val="nl-NL"/>
              </w:rPr>
              <w:t>6.2.2 Gevolgen</w:t>
            </w:r>
            <w:r>
              <w:rPr>
                <w:noProof/>
                <w:webHidden/>
              </w:rPr>
              <w:tab/>
            </w:r>
            <w:r>
              <w:rPr>
                <w:noProof/>
                <w:webHidden/>
              </w:rPr>
              <w:fldChar w:fldCharType="begin"/>
            </w:r>
            <w:r>
              <w:rPr>
                <w:noProof/>
                <w:webHidden/>
              </w:rPr>
              <w:instrText xml:space="preserve"> PAGEREF _Toc223624612 \h </w:instrText>
            </w:r>
            <w:r>
              <w:rPr>
                <w:noProof/>
                <w:webHidden/>
              </w:rPr>
            </w:r>
            <w:r>
              <w:rPr>
                <w:noProof/>
                <w:webHidden/>
              </w:rPr>
              <w:fldChar w:fldCharType="separate"/>
            </w:r>
            <w:r>
              <w:rPr>
                <w:noProof/>
                <w:webHidden/>
              </w:rPr>
              <w:t>9</w:t>
            </w:r>
            <w:r>
              <w:rPr>
                <w:noProof/>
                <w:webHidden/>
              </w:rPr>
              <w:fldChar w:fldCharType="end"/>
            </w:r>
          </w:hyperlink>
        </w:p>
        <w:p w14:paraId="636FFD6C" w14:textId="5090D5C1" w:rsidR="00B5458B" w:rsidRDefault="00B5458B">
          <w:pPr>
            <w:pStyle w:val="Inhopg3"/>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13" w:history="1">
            <w:r w:rsidRPr="009367D9">
              <w:rPr>
                <w:rStyle w:val="Hyperlink"/>
                <w:noProof/>
                <w:lang w:val="nl-NL"/>
              </w:rPr>
              <w:t>6.2.3 Sociaal overleg over de beslissing tot collectieve overdracht van personeel</w:t>
            </w:r>
            <w:r>
              <w:rPr>
                <w:noProof/>
                <w:webHidden/>
              </w:rPr>
              <w:tab/>
            </w:r>
            <w:r>
              <w:rPr>
                <w:noProof/>
                <w:webHidden/>
              </w:rPr>
              <w:fldChar w:fldCharType="begin"/>
            </w:r>
            <w:r>
              <w:rPr>
                <w:noProof/>
                <w:webHidden/>
              </w:rPr>
              <w:instrText xml:space="preserve"> PAGEREF _Toc223624613 \h </w:instrText>
            </w:r>
            <w:r>
              <w:rPr>
                <w:noProof/>
                <w:webHidden/>
              </w:rPr>
            </w:r>
            <w:r>
              <w:rPr>
                <w:noProof/>
                <w:webHidden/>
              </w:rPr>
              <w:fldChar w:fldCharType="separate"/>
            </w:r>
            <w:r>
              <w:rPr>
                <w:noProof/>
                <w:webHidden/>
              </w:rPr>
              <w:t>10</w:t>
            </w:r>
            <w:r>
              <w:rPr>
                <w:noProof/>
                <w:webHidden/>
              </w:rPr>
              <w:fldChar w:fldCharType="end"/>
            </w:r>
          </w:hyperlink>
        </w:p>
        <w:p w14:paraId="5A59F72B" w14:textId="498B0E2C" w:rsidR="00B5458B" w:rsidRDefault="00B5458B">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3624614" w:history="1">
            <w:r w:rsidRPr="009367D9">
              <w:rPr>
                <w:rStyle w:val="Hyperlink"/>
                <w:noProof/>
                <w:lang w:val="nl-NL"/>
              </w:rPr>
              <w:t>7 Samen personeel aanwerven – hoe begint u eraan?</w:t>
            </w:r>
            <w:r>
              <w:rPr>
                <w:noProof/>
                <w:webHidden/>
              </w:rPr>
              <w:tab/>
            </w:r>
            <w:r>
              <w:rPr>
                <w:noProof/>
                <w:webHidden/>
              </w:rPr>
              <w:fldChar w:fldCharType="begin"/>
            </w:r>
            <w:r>
              <w:rPr>
                <w:noProof/>
                <w:webHidden/>
              </w:rPr>
              <w:instrText xml:space="preserve"> PAGEREF _Toc223624614 \h </w:instrText>
            </w:r>
            <w:r>
              <w:rPr>
                <w:noProof/>
                <w:webHidden/>
              </w:rPr>
            </w:r>
            <w:r>
              <w:rPr>
                <w:noProof/>
                <w:webHidden/>
              </w:rPr>
              <w:fldChar w:fldCharType="separate"/>
            </w:r>
            <w:r>
              <w:rPr>
                <w:noProof/>
                <w:webHidden/>
              </w:rPr>
              <w:t>10</w:t>
            </w:r>
            <w:r>
              <w:rPr>
                <w:noProof/>
                <w:webHidden/>
              </w:rPr>
              <w:fldChar w:fldCharType="end"/>
            </w:r>
          </w:hyperlink>
        </w:p>
        <w:p w14:paraId="19C8A366" w14:textId="486C0BC8" w:rsidR="000E144F" w:rsidRDefault="000E144F">
          <w:r>
            <w:rPr>
              <w:b/>
              <w:bCs/>
              <w:lang w:val="nl-NL"/>
            </w:rPr>
            <w:fldChar w:fldCharType="end"/>
          </w:r>
        </w:p>
      </w:sdtContent>
    </w:sdt>
    <w:p w14:paraId="5DACFC96" w14:textId="77777777" w:rsidR="00E830FC" w:rsidRPr="00E830FC" w:rsidRDefault="009F446E" w:rsidP="00E830FC">
      <w:pPr>
        <w:pStyle w:val="Kop1"/>
      </w:pPr>
      <w:bookmarkStart w:id="0" w:name="_Toc316372597"/>
      <w:bookmarkStart w:id="1" w:name="_Toc473900248"/>
      <w:bookmarkStart w:id="2" w:name="_Toc223624603"/>
      <w:r w:rsidRPr="009F446E">
        <w:t>Samenvatting</w:t>
      </w:r>
      <w:bookmarkEnd w:id="0"/>
      <w:bookmarkEnd w:id="1"/>
      <w:bookmarkEnd w:id="2"/>
    </w:p>
    <w:p w14:paraId="5DACFC98" w14:textId="780F0F24" w:rsidR="00E830FC" w:rsidRPr="00E830FC" w:rsidRDefault="00E830FC" w:rsidP="00E830FC">
      <w:pPr>
        <w:rPr>
          <w:lang w:val="nl-NL"/>
        </w:rPr>
      </w:pPr>
      <w:r w:rsidRPr="00E830FC">
        <w:rPr>
          <w:lang w:val="nl-NL"/>
        </w:rPr>
        <w:t>Er zijn </w:t>
      </w:r>
      <w:r w:rsidR="00975239">
        <w:rPr>
          <w:lang w:val="nl-NL"/>
        </w:rPr>
        <w:t>vijf</w:t>
      </w:r>
      <w:r w:rsidR="00975239" w:rsidRPr="00E830FC">
        <w:rPr>
          <w:lang w:val="nl-NL"/>
        </w:rPr>
        <w:t xml:space="preserve"> </w:t>
      </w:r>
      <w:r w:rsidRPr="00E830FC">
        <w:rPr>
          <w:lang w:val="nl-NL"/>
        </w:rPr>
        <w:t>mogelijke technieken om</w:t>
      </w:r>
      <w:r w:rsidR="00B0666F">
        <w:rPr>
          <w:lang w:val="nl-NL"/>
        </w:rPr>
        <w:t xml:space="preserve"> het personeel van een lokaal bestuur (de juridische werkgever) bij een ander lokaal bestuur (de gebruiker) in te zetten:</w:t>
      </w:r>
    </w:p>
    <w:p w14:paraId="22AB153F" w14:textId="38C5692B" w:rsidR="00B0666F" w:rsidRDefault="00E830FC" w:rsidP="00B0666F">
      <w:pPr>
        <w:pStyle w:val="Opsomming"/>
        <w:tabs>
          <w:tab w:val="clear" w:pos="284"/>
        </w:tabs>
        <w:spacing w:after="280" w:line="280" w:lineRule="atLeast"/>
        <w:ind w:left="426" w:hanging="426"/>
      </w:pPr>
      <w:r w:rsidRPr="00B0666F">
        <w:t xml:space="preserve">Bij uitlenen van een personeelslid </w:t>
      </w:r>
      <w:r w:rsidR="00B0666F">
        <w:t xml:space="preserve">(punt </w:t>
      </w:r>
      <w:r w:rsidR="00FC330E">
        <w:t>2</w:t>
      </w:r>
      <w:r w:rsidR="00B0666F">
        <w:t xml:space="preserve">) </w:t>
      </w:r>
      <w:r w:rsidRPr="00B0666F">
        <w:t>blijft de juridische werkgever</w:t>
      </w:r>
      <w:r w:rsidR="00B0666F">
        <w:t xml:space="preserve"> </w:t>
      </w:r>
      <w:r w:rsidR="00975239">
        <w:t xml:space="preserve">alleen </w:t>
      </w:r>
      <w:r w:rsidR="00B0666F">
        <w:t>het werkgeversgezag uitoefenen</w:t>
      </w:r>
      <w:r w:rsidR="00155DAA">
        <w:t>,</w:t>
      </w:r>
      <w:r w:rsidR="00B0666F">
        <w:t xml:space="preserve"> de gebruiker kan wel bepaalde instructies geven</w:t>
      </w:r>
      <w:r w:rsidRPr="00B0666F">
        <w:t>.</w:t>
      </w:r>
      <w:r w:rsidR="00654F98">
        <w:t xml:space="preserve"> </w:t>
      </w:r>
    </w:p>
    <w:p w14:paraId="6F96E912" w14:textId="58BCE33C" w:rsidR="00B0666F" w:rsidRPr="00B0666F" w:rsidRDefault="00B0666F" w:rsidP="00B0666F">
      <w:pPr>
        <w:pStyle w:val="Opsomming"/>
        <w:tabs>
          <w:tab w:val="clear" w:pos="284"/>
        </w:tabs>
        <w:spacing w:after="280" w:line="280" w:lineRule="atLeast"/>
        <w:ind w:left="426" w:hanging="426"/>
      </w:pPr>
      <w:r>
        <w:t xml:space="preserve">Terbeschikkingstelling (punt </w:t>
      </w:r>
      <w:r w:rsidR="00FC330E">
        <w:t>3</w:t>
      </w:r>
      <w:r>
        <w:t xml:space="preserve">) houdt in dat zowel de juridische werkgever als de gebruiker werkgeversgezag kan uitoefenen over het personeelslid. </w:t>
      </w:r>
      <w:r w:rsidR="00E830FC" w:rsidRPr="00B0666F">
        <w:t xml:space="preserve"> </w:t>
      </w:r>
    </w:p>
    <w:p w14:paraId="1FF6865D" w14:textId="1958B9AF" w:rsidR="00B0666F" w:rsidRDefault="00E830FC" w:rsidP="00B0666F">
      <w:pPr>
        <w:pStyle w:val="Opsomming"/>
        <w:tabs>
          <w:tab w:val="clear" w:pos="284"/>
        </w:tabs>
        <w:spacing w:after="280" w:line="280" w:lineRule="atLeast"/>
        <w:ind w:left="426" w:hanging="426"/>
      </w:pPr>
      <w:r w:rsidRPr="00B0666F">
        <w:t>Bij verlof voor opdracht</w:t>
      </w:r>
      <w:r w:rsidR="00975239">
        <w:t>, onbetaald verlof</w:t>
      </w:r>
      <w:r w:rsidRPr="00B0666F">
        <w:t xml:space="preserve"> of schorsing arbeidsovereenkomst (punt </w:t>
      </w:r>
      <w:r w:rsidR="00FC330E">
        <w:t>4</w:t>
      </w:r>
      <w:r w:rsidRPr="00B0666F">
        <w:t>) heeft het personeelslid twee werkgevers, een actieve werkgever (</w:t>
      </w:r>
      <w:r w:rsidR="00B0666F">
        <w:t>de gebruiker</w:t>
      </w:r>
      <w:r w:rsidRPr="00B0666F">
        <w:t xml:space="preserve">) en een slapende werkgever (de </w:t>
      </w:r>
      <w:r w:rsidR="00B0666F">
        <w:t>juridische werkgever</w:t>
      </w:r>
      <w:r w:rsidRPr="00B0666F">
        <w:t xml:space="preserve">). </w:t>
      </w:r>
    </w:p>
    <w:p w14:paraId="6FEA13D3" w14:textId="647E5C90" w:rsidR="00FC330E" w:rsidRPr="00B0666F" w:rsidRDefault="00FC330E" w:rsidP="00B0666F">
      <w:pPr>
        <w:pStyle w:val="Opsomming"/>
        <w:tabs>
          <w:tab w:val="clear" w:pos="284"/>
        </w:tabs>
        <w:spacing w:after="280" w:line="280" w:lineRule="atLeast"/>
        <w:ind w:left="426" w:hanging="426"/>
      </w:pPr>
      <w:r>
        <w:t>Bij externe personeelsmobiliteit (punt 5) stapt het personeelslid vrijwillig over naar een ander lokaal bestuur na een verkorte sollicitatieprocedure</w:t>
      </w:r>
      <w:r w:rsidR="00497DB9">
        <w:t xml:space="preserve"> met een beperkt deelnemersveld</w:t>
      </w:r>
      <w:r w:rsidR="00975239">
        <w:t>.</w:t>
      </w:r>
    </w:p>
    <w:p w14:paraId="352FE41B" w14:textId="2CCDD827" w:rsidR="00B0666F" w:rsidRPr="00B0666F" w:rsidRDefault="00E830FC" w:rsidP="00E830FC">
      <w:pPr>
        <w:pStyle w:val="Opsomming"/>
        <w:tabs>
          <w:tab w:val="clear" w:pos="284"/>
        </w:tabs>
        <w:spacing w:after="280" w:line="280" w:lineRule="atLeast"/>
        <w:ind w:left="426" w:hanging="426"/>
      </w:pPr>
      <w:r w:rsidRPr="00B0666F">
        <w:t>Bij overdracht (punt </w:t>
      </w:r>
      <w:r w:rsidR="00FC330E">
        <w:t>6</w:t>
      </w:r>
      <w:r w:rsidRPr="00B0666F">
        <w:t xml:space="preserve">) wordt </w:t>
      </w:r>
      <w:r w:rsidR="00446558" w:rsidRPr="00B0666F">
        <w:t xml:space="preserve">het </w:t>
      </w:r>
      <w:r w:rsidR="00B10EDC">
        <w:t>personeelslid overgedragen naar een ander lokaal bestuur</w:t>
      </w:r>
      <w:r w:rsidRPr="00B0666F">
        <w:t>.</w:t>
      </w:r>
    </w:p>
    <w:p w14:paraId="7F8DCCF3" w14:textId="1903DC3F" w:rsidR="00B0666F" w:rsidRDefault="00FA3D54" w:rsidP="00E830FC">
      <w:pPr>
        <w:rPr>
          <w:lang w:val="nl-NL"/>
        </w:rPr>
      </w:pPr>
      <w:r>
        <w:rPr>
          <w:lang w:val="nl-NL"/>
        </w:rPr>
        <w:lastRenderedPageBreak/>
        <w:t xml:space="preserve">Soms is het niet nodig om formele afspraken te maken: </w:t>
      </w:r>
      <w:r w:rsidR="00B0666F">
        <w:rPr>
          <w:lang w:val="nl-NL"/>
        </w:rPr>
        <w:t xml:space="preserve">als het hiërarchisch gezag en de instructies enkel via </w:t>
      </w:r>
      <w:r w:rsidR="00916D75">
        <w:rPr>
          <w:lang w:val="nl-NL"/>
        </w:rPr>
        <w:t>de algemeen directeur</w:t>
      </w:r>
      <w:r w:rsidR="00917088">
        <w:rPr>
          <w:lang w:val="nl-NL"/>
        </w:rPr>
        <w:t xml:space="preserve"> verlopen en het andere lokaal bestuur</w:t>
      </w:r>
      <w:r w:rsidR="00B0666F">
        <w:rPr>
          <w:lang w:val="nl-NL"/>
        </w:rPr>
        <w:t xml:space="preserve"> geen </w:t>
      </w:r>
      <w:r w:rsidR="00B0666F" w:rsidRPr="00E05D5C">
        <w:rPr>
          <w:lang w:val="nl-NL"/>
        </w:rPr>
        <w:t xml:space="preserve">werkgeversgezag </w:t>
      </w:r>
      <w:r w:rsidR="00B0666F">
        <w:rPr>
          <w:lang w:val="nl-NL"/>
        </w:rPr>
        <w:t>over het personeelslid</w:t>
      </w:r>
      <w:r w:rsidR="00AC170A">
        <w:rPr>
          <w:lang w:val="nl-NL"/>
        </w:rPr>
        <w:t xml:space="preserve"> uitoefent</w:t>
      </w:r>
      <w:r w:rsidR="00B0666F">
        <w:rPr>
          <w:lang w:val="nl-NL"/>
        </w:rPr>
        <w:t>, moet de juridische werkgever</w:t>
      </w:r>
      <w:r w:rsidR="00B0666F" w:rsidRPr="00E05D5C">
        <w:rPr>
          <w:lang w:val="nl-NL"/>
        </w:rPr>
        <w:t xml:space="preserve"> geen </w:t>
      </w:r>
      <w:r w:rsidR="00AC170A">
        <w:rPr>
          <w:lang w:val="nl-NL"/>
        </w:rPr>
        <w:t xml:space="preserve">formele </w:t>
      </w:r>
      <w:r w:rsidR="00B0666F" w:rsidRPr="00E05D5C">
        <w:rPr>
          <w:lang w:val="nl-NL"/>
        </w:rPr>
        <w:t xml:space="preserve">afspraken met </w:t>
      </w:r>
      <w:r w:rsidR="00AC170A">
        <w:rPr>
          <w:lang w:val="nl-NL"/>
        </w:rPr>
        <w:t>de gebruiker</w:t>
      </w:r>
      <w:r w:rsidR="00B0666F">
        <w:rPr>
          <w:lang w:val="nl-NL"/>
        </w:rPr>
        <w:t xml:space="preserve"> maken</w:t>
      </w:r>
      <w:r>
        <w:rPr>
          <w:lang w:val="nl-NL"/>
        </w:rPr>
        <w:t>,</w:t>
      </w:r>
      <w:r w:rsidR="00975239">
        <w:rPr>
          <w:rStyle w:val="Voetnootmarkering"/>
          <w:lang w:val="nl-NL"/>
        </w:rPr>
        <w:footnoteReference w:id="2"/>
      </w:r>
      <w:r w:rsidR="00B0666F" w:rsidRPr="00E05D5C">
        <w:rPr>
          <w:lang w:val="nl-NL"/>
        </w:rPr>
        <w:t xml:space="preserve"> ook al wordt er </w:t>
      </w:r>
      <w:r w:rsidR="00B0666F">
        <w:rPr>
          <w:lang w:val="nl-NL"/>
        </w:rPr>
        <w:t xml:space="preserve">tussen </w:t>
      </w:r>
      <w:r w:rsidR="00AC170A">
        <w:rPr>
          <w:lang w:val="nl-NL"/>
        </w:rPr>
        <w:t>beide besturen</w:t>
      </w:r>
      <w:r w:rsidR="00B0666F">
        <w:rPr>
          <w:lang w:val="nl-NL"/>
        </w:rPr>
        <w:t xml:space="preserve"> </w:t>
      </w:r>
      <w:r w:rsidR="00B0666F" w:rsidRPr="00E05D5C">
        <w:rPr>
          <w:lang w:val="nl-NL"/>
        </w:rPr>
        <w:t>samengewerkt.</w:t>
      </w:r>
      <w:r w:rsidR="00975239">
        <w:rPr>
          <w:lang w:val="nl-NL"/>
        </w:rPr>
        <w:t xml:space="preserve"> </w:t>
      </w:r>
      <w:r w:rsidR="00975239" w:rsidRPr="00975239">
        <w:t xml:space="preserve">Er is dan </w:t>
      </w:r>
      <w:r w:rsidR="00975239">
        <w:t xml:space="preserve">sprake van ad hoc samenwerking, zonder </w:t>
      </w:r>
      <w:r w:rsidR="00975239" w:rsidRPr="00975239">
        <w:t>gecoördineerde aansturing en planning. De medewerker levert a</w:t>
      </w:r>
      <w:r w:rsidR="00975239">
        <w:t>d hoc prestaties voor het andere bestuur</w:t>
      </w:r>
      <w:r w:rsidR="00975239" w:rsidRPr="00975239">
        <w:t>, waarbij hij volledig aangestuurd wordt/blijft van</w:t>
      </w:r>
      <w:r w:rsidR="00975239">
        <w:t>uit het eigen bestuur</w:t>
      </w:r>
      <w:r w:rsidR="00975239" w:rsidRPr="00975239">
        <w:t>.</w:t>
      </w:r>
    </w:p>
    <w:p w14:paraId="3BAA5D0B" w14:textId="77777777" w:rsidR="00B0666F" w:rsidRDefault="00B0666F" w:rsidP="00E830FC">
      <w:pPr>
        <w:rPr>
          <w:lang w:val="nl-NL"/>
        </w:rPr>
      </w:pPr>
    </w:p>
    <w:p w14:paraId="076AD913" w14:textId="15818570" w:rsidR="00B0666F" w:rsidRPr="00E830FC" w:rsidRDefault="00FA3D54" w:rsidP="00E830FC">
      <w:pPr>
        <w:rPr>
          <w:lang w:val="nl-NL"/>
        </w:rPr>
      </w:pPr>
      <w:r>
        <w:rPr>
          <w:lang w:val="nl-NL"/>
        </w:rPr>
        <w:t xml:space="preserve">Op het einde van de nota </w:t>
      </w:r>
      <w:r w:rsidR="00B0666F" w:rsidRPr="000E144F">
        <w:rPr>
          <w:lang w:val="nl-NL"/>
        </w:rPr>
        <w:t xml:space="preserve">overlopen we </w:t>
      </w:r>
      <w:r>
        <w:rPr>
          <w:lang w:val="nl-NL"/>
        </w:rPr>
        <w:t xml:space="preserve">ten slotte </w:t>
      </w:r>
      <w:r w:rsidR="00B0666F" w:rsidRPr="000E144F">
        <w:rPr>
          <w:lang w:val="nl-NL"/>
        </w:rPr>
        <w:t xml:space="preserve">de werkwijze om samen een personeelslid aan te werven. </w:t>
      </w:r>
    </w:p>
    <w:p w14:paraId="5DACFC9A" w14:textId="6077BE97" w:rsidR="00E830FC" w:rsidRPr="00E830FC" w:rsidRDefault="00E830FC" w:rsidP="00E830FC">
      <w:pPr>
        <w:pStyle w:val="Duidelijkcitaat"/>
        <w:rPr>
          <w:lang w:val="nl-NL"/>
        </w:rPr>
      </w:pPr>
      <w:r w:rsidRPr="00E830FC">
        <w:rPr>
          <w:lang w:val="nl-NL"/>
        </w:rPr>
        <w:t xml:space="preserve">Voor welke </w:t>
      </w:r>
      <w:r w:rsidR="00EE581D">
        <w:rPr>
          <w:lang w:val="nl-NL"/>
        </w:rPr>
        <w:t>optie</w:t>
      </w:r>
      <w:r w:rsidRPr="00E830FC">
        <w:rPr>
          <w:lang w:val="nl-NL"/>
        </w:rPr>
        <w:t xml:space="preserve"> kiezen?</w:t>
      </w:r>
    </w:p>
    <w:p w14:paraId="3B043225" w14:textId="6399B5FF" w:rsidR="00AC170A" w:rsidRDefault="00E830FC" w:rsidP="00E05D5C">
      <w:pPr>
        <w:rPr>
          <w:lang w:val="nl-NL"/>
        </w:rPr>
      </w:pPr>
      <w:r w:rsidRPr="00E830FC">
        <w:rPr>
          <w:lang w:val="nl-NL"/>
        </w:rPr>
        <w:t xml:space="preserve">Het </w:t>
      </w:r>
      <w:r w:rsidRPr="00E830FC">
        <w:rPr>
          <w:u w:val="single"/>
          <w:lang w:val="nl-NL"/>
        </w:rPr>
        <w:t>uitlenen van een personeelslid</w:t>
      </w:r>
      <w:r w:rsidRPr="00E830FC">
        <w:rPr>
          <w:lang w:val="nl-NL"/>
        </w:rPr>
        <w:t xml:space="preserve"> </w:t>
      </w:r>
      <w:r w:rsidR="00E05D5C">
        <w:rPr>
          <w:lang w:val="nl-NL"/>
        </w:rPr>
        <w:t>wa</w:t>
      </w:r>
      <w:r w:rsidR="00E05D5C" w:rsidRPr="00E830FC">
        <w:rPr>
          <w:lang w:val="nl-NL"/>
        </w:rPr>
        <w:t xml:space="preserve">s </w:t>
      </w:r>
      <w:r w:rsidR="00B0666F">
        <w:rPr>
          <w:lang w:val="nl-NL"/>
        </w:rPr>
        <w:t xml:space="preserve">vroeger </w:t>
      </w:r>
      <w:r w:rsidRPr="00E830FC">
        <w:rPr>
          <w:lang w:val="nl-NL"/>
        </w:rPr>
        <w:t>heel eenvoudig, makkelijk en snel uitvoerbaar. Het is de</w:t>
      </w:r>
      <w:r w:rsidR="00B241ED">
        <w:rPr>
          <w:lang w:val="nl-NL"/>
        </w:rPr>
        <w:t xml:space="preserve"> op een na</w:t>
      </w:r>
      <w:r w:rsidRPr="00E830FC">
        <w:rPr>
          <w:lang w:val="nl-NL"/>
        </w:rPr>
        <w:t xml:space="preserve"> lichtste vorm om medewerkers van </w:t>
      </w:r>
      <w:r w:rsidR="00AC170A">
        <w:rPr>
          <w:lang w:val="nl-NL"/>
        </w:rPr>
        <w:t>het ene lokaal bestuur in te zetten voor het andere lokaal bestuur.</w:t>
      </w:r>
    </w:p>
    <w:p w14:paraId="5DACFC9D" w14:textId="7FB3D51F" w:rsidR="00E830FC" w:rsidRPr="00AC170A" w:rsidRDefault="00E05D5C" w:rsidP="00E830FC">
      <w:r w:rsidRPr="00E05D5C">
        <w:t>Sinds 1 januari 2013 is het uitlenen van personeel strenger en formalistischer geworden.</w:t>
      </w:r>
    </w:p>
    <w:p w14:paraId="5DACFC9E" w14:textId="77777777" w:rsidR="00E830FC" w:rsidRPr="00E830FC" w:rsidRDefault="00E830FC" w:rsidP="00E830FC">
      <w:pPr>
        <w:rPr>
          <w:lang w:val="nl-NL"/>
        </w:rPr>
      </w:pPr>
    </w:p>
    <w:p w14:paraId="5DACFC9F" w14:textId="03F012EE" w:rsidR="00E830FC" w:rsidRDefault="00E830FC" w:rsidP="00E830FC">
      <w:pPr>
        <w:rPr>
          <w:lang w:val="nl-NL"/>
        </w:rPr>
      </w:pPr>
      <w:r w:rsidRPr="00E830FC">
        <w:rPr>
          <w:u w:val="single"/>
          <w:lang w:val="nl-NL"/>
        </w:rPr>
        <w:t>Terbeschikkingstelling</w:t>
      </w:r>
      <w:r w:rsidR="00B241ED">
        <w:rPr>
          <w:u w:val="single"/>
          <w:lang w:val="nl-NL"/>
        </w:rPr>
        <w:t xml:space="preserve"> of detachering</w:t>
      </w:r>
      <w:r w:rsidRPr="00E830FC">
        <w:rPr>
          <w:lang w:val="nl-NL"/>
        </w:rPr>
        <w:t xml:space="preserve">  is ook vrij soepel en ideaal voor opdrachten op korte termijn of voor individuele opdrachten. Het garandeert de rechten van het gedetacheerd</w:t>
      </w:r>
      <w:r w:rsidR="00B241ED">
        <w:rPr>
          <w:lang w:val="nl-NL"/>
        </w:rPr>
        <w:t>e</w:t>
      </w:r>
      <w:r w:rsidRPr="00E830FC">
        <w:rPr>
          <w:lang w:val="nl-NL"/>
        </w:rPr>
        <w:t xml:space="preserve"> personeelslid bij de </w:t>
      </w:r>
      <w:r w:rsidR="00AC170A">
        <w:rPr>
          <w:lang w:val="nl-NL"/>
        </w:rPr>
        <w:t xml:space="preserve">juridische werkgever én de juridische werkgever </w:t>
      </w:r>
      <w:r w:rsidRPr="00E830FC">
        <w:rPr>
          <w:lang w:val="nl-NL"/>
        </w:rPr>
        <w:t xml:space="preserve">kan zelf selecteren wie </w:t>
      </w:r>
      <w:r w:rsidR="00AC170A">
        <w:rPr>
          <w:lang w:val="nl-NL"/>
        </w:rPr>
        <w:t>hij</w:t>
      </w:r>
      <w:r w:rsidRPr="00E830FC">
        <w:rPr>
          <w:lang w:val="nl-NL"/>
        </w:rPr>
        <w:t xml:space="preserve"> uitstuurt. De verstandhouding tussen </w:t>
      </w:r>
      <w:r w:rsidR="00AC170A">
        <w:rPr>
          <w:lang w:val="nl-NL"/>
        </w:rPr>
        <w:t>de betrokken overheden en het</w:t>
      </w:r>
      <w:r w:rsidRPr="00E830FC">
        <w:rPr>
          <w:lang w:val="nl-NL"/>
        </w:rPr>
        <w:t xml:space="preserve"> personeelslid moet wel goed zitten en goed geregeld worden. Op langere termijn is detachering geen</w:t>
      </w:r>
      <w:r w:rsidR="00B241ED">
        <w:rPr>
          <w:lang w:val="nl-NL"/>
        </w:rPr>
        <w:t xml:space="preserve"> (ideale)</w:t>
      </w:r>
      <w:r w:rsidRPr="00E830FC">
        <w:rPr>
          <w:lang w:val="nl-NL"/>
        </w:rPr>
        <w:t xml:space="preserve"> oplossing</w:t>
      </w:r>
      <w:r w:rsidR="00AC170A">
        <w:rPr>
          <w:lang w:val="nl-NL"/>
        </w:rPr>
        <w:t xml:space="preserve">, zeker als er een verschil in rechtspositieregeling is, </w:t>
      </w:r>
      <w:r w:rsidRPr="00E830FC">
        <w:rPr>
          <w:lang w:val="nl-NL"/>
        </w:rPr>
        <w:t xml:space="preserve">omdat </w:t>
      </w:r>
      <w:r w:rsidR="00AC170A">
        <w:rPr>
          <w:lang w:val="nl-NL"/>
        </w:rPr>
        <w:t xml:space="preserve">dit </w:t>
      </w:r>
      <w:r w:rsidRPr="00E830FC">
        <w:rPr>
          <w:lang w:val="nl-NL"/>
        </w:rPr>
        <w:t>wrijvingen geeft.</w:t>
      </w:r>
    </w:p>
    <w:p w14:paraId="5DACFCA0" w14:textId="77777777" w:rsidR="00E830FC" w:rsidRPr="00E830FC" w:rsidRDefault="00E830FC" w:rsidP="00E830FC">
      <w:pPr>
        <w:rPr>
          <w:lang w:val="nl-NL"/>
        </w:rPr>
      </w:pPr>
    </w:p>
    <w:p w14:paraId="5DACFCA1" w14:textId="2C12E71D" w:rsidR="00E830FC" w:rsidRDefault="00E830FC" w:rsidP="00E830FC">
      <w:pPr>
        <w:rPr>
          <w:lang w:val="nl-NL"/>
        </w:rPr>
      </w:pPr>
      <w:r w:rsidRPr="00E830FC">
        <w:rPr>
          <w:u w:val="single"/>
          <w:lang w:val="nl-NL"/>
        </w:rPr>
        <w:t>Verlof voor opdracht</w:t>
      </w:r>
      <w:r w:rsidR="00B241ED">
        <w:rPr>
          <w:u w:val="single"/>
          <w:lang w:val="nl-NL"/>
        </w:rPr>
        <w:t xml:space="preserve"> of onbetaald verlof</w:t>
      </w:r>
      <w:r w:rsidRPr="00E830FC">
        <w:rPr>
          <w:lang w:val="nl-NL"/>
        </w:rPr>
        <w:t xml:space="preserve"> is ook redelijk soepel en ideaal voor opdrachten op korte termijn of voor individuele </w:t>
      </w:r>
      <w:r w:rsidR="00AC170A">
        <w:rPr>
          <w:lang w:val="nl-NL"/>
        </w:rPr>
        <w:t>opdrachten. Voor de lokaleoverheidswerkgevers</w:t>
      </w:r>
      <w:r w:rsidRPr="00E830FC">
        <w:rPr>
          <w:lang w:val="nl-NL"/>
        </w:rPr>
        <w:t xml:space="preserve"> is dat bovendien een zeer transparante regeling, aangezien er één</w:t>
      </w:r>
      <w:r w:rsidR="00AC170A">
        <w:rPr>
          <w:lang w:val="nl-NL"/>
        </w:rPr>
        <w:t xml:space="preserve"> (actieve)</w:t>
      </w:r>
      <w:r w:rsidRPr="00E830FC">
        <w:rPr>
          <w:lang w:val="nl-NL"/>
        </w:rPr>
        <w:t xml:space="preserve"> juridische werkgever is en dus één werkgeversgezag wordt uitgeoefend. Bij detachering </w:t>
      </w:r>
      <w:r w:rsidR="00AC170A">
        <w:rPr>
          <w:lang w:val="nl-NL"/>
        </w:rPr>
        <w:t xml:space="preserve">(of terbeschikkingstelling) </w:t>
      </w:r>
      <w:r w:rsidRPr="00E830FC">
        <w:rPr>
          <w:lang w:val="nl-NL"/>
        </w:rPr>
        <w:t>is er sprake van dubbel werkgeversgezag, wat meer overleg vraagt.</w:t>
      </w:r>
    </w:p>
    <w:p w14:paraId="5DACFCA2" w14:textId="77777777" w:rsidR="00E830FC" w:rsidRPr="00E830FC" w:rsidRDefault="00E830FC" w:rsidP="00E830FC">
      <w:pPr>
        <w:rPr>
          <w:lang w:val="nl-NL"/>
        </w:rPr>
      </w:pPr>
    </w:p>
    <w:p w14:paraId="5DACFCA3" w14:textId="512EFF9D" w:rsidR="00E830FC" w:rsidRPr="00E830FC" w:rsidRDefault="00E830FC" w:rsidP="00E830FC">
      <w:pPr>
        <w:rPr>
          <w:lang w:val="nl-NL"/>
        </w:rPr>
      </w:pPr>
      <w:r w:rsidRPr="00E830FC">
        <w:rPr>
          <w:lang w:val="nl-NL"/>
        </w:rPr>
        <w:t xml:space="preserve">De </w:t>
      </w:r>
      <w:r w:rsidRPr="00E830FC">
        <w:rPr>
          <w:u w:val="single"/>
          <w:lang w:val="nl-NL"/>
        </w:rPr>
        <w:t>overdracht van personeel</w:t>
      </w:r>
      <w:r w:rsidRPr="00E830FC">
        <w:rPr>
          <w:lang w:val="nl-NL"/>
        </w:rPr>
        <w:t xml:space="preserve"> is </w:t>
      </w:r>
      <w:r w:rsidR="00B241ED">
        <w:rPr>
          <w:lang w:val="nl-NL"/>
        </w:rPr>
        <w:t xml:space="preserve">juridisch gezien </w:t>
      </w:r>
      <w:r w:rsidRPr="00E830FC">
        <w:rPr>
          <w:lang w:val="nl-NL"/>
        </w:rPr>
        <w:t>de juiste keuze als het niet meer om tijdelijke maar om structurele opdrachten gaat</w:t>
      </w:r>
      <w:r w:rsidR="006F425F">
        <w:rPr>
          <w:lang w:val="nl-NL"/>
        </w:rPr>
        <w:t xml:space="preserve">, en als er kan gebruik gemaakt worden van een soepele regeling (de Europese </w:t>
      </w:r>
      <w:r w:rsidR="007A2A83">
        <w:rPr>
          <w:lang w:val="nl-NL"/>
        </w:rPr>
        <w:t>R</w:t>
      </w:r>
      <w:r w:rsidR="006F425F">
        <w:rPr>
          <w:lang w:val="nl-NL"/>
        </w:rPr>
        <w:t>ichtlijn 2001/23/EG</w:t>
      </w:r>
      <w:r w:rsidR="00B5458B">
        <w:rPr>
          <w:lang w:val="nl-NL"/>
        </w:rPr>
        <w:t xml:space="preserve"> en</w:t>
      </w:r>
      <w:r w:rsidR="006F425F">
        <w:rPr>
          <w:lang w:val="nl-NL"/>
        </w:rPr>
        <w:t xml:space="preserve"> art. 1</w:t>
      </w:r>
      <w:r w:rsidR="00B50727">
        <w:rPr>
          <w:lang w:val="nl-NL"/>
        </w:rPr>
        <w:t>85</w:t>
      </w:r>
      <w:r w:rsidR="0020327F">
        <w:rPr>
          <w:lang w:val="nl-NL"/>
        </w:rPr>
        <w:t xml:space="preserve">/1 </w:t>
      </w:r>
      <w:r w:rsidR="00B50727">
        <w:rPr>
          <w:lang w:val="nl-NL"/>
        </w:rPr>
        <w:t>Decreet Lokaal Bestuur</w:t>
      </w:r>
      <w:r w:rsidR="006F425F">
        <w:rPr>
          <w:lang w:val="nl-NL"/>
        </w:rPr>
        <w:t>)</w:t>
      </w:r>
      <w:r w:rsidRPr="00E830FC">
        <w:rPr>
          <w:lang w:val="nl-NL"/>
        </w:rPr>
        <w:t>. </w:t>
      </w:r>
      <w:r w:rsidR="006F425F">
        <w:rPr>
          <w:lang w:val="nl-NL"/>
        </w:rPr>
        <w:t xml:space="preserve">In de andere gevallen kan </w:t>
      </w:r>
      <w:r w:rsidR="006F425F" w:rsidRPr="00613C5B">
        <w:rPr>
          <w:u w:val="single"/>
          <w:lang w:val="nl-NL"/>
        </w:rPr>
        <w:t>de aanwerving na een</w:t>
      </w:r>
      <w:r w:rsidR="006F425F">
        <w:rPr>
          <w:lang w:val="nl-NL"/>
        </w:rPr>
        <w:t xml:space="preserve"> </w:t>
      </w:r>
      <w:r w:rsidR="006F425F" w:rsidRPr="006F425F">
        <w:rPr>
          <w:u w:val="single"/>
          <w:lang w:val="nl-NL"/>
        </w:rPr>
        <w:t>procedure van externe personeelsmobiliteit</w:t>
      </w:r>
      <w:r w:rsidR="006F425F">
        <w:rPr>
          <w:lang w:val="nl-NL"/>
        </w:rPr>
        <w:t xml:space="preserve"> een oplossing zijn. </w:t>
      </w:r>
    </w:p>
    <w:p w14:paraId="5DACFCA4" w14:textId="77777777" w:rsidR="00E830FC" w:rsidRPr="00E830FC" w:rsidRDefault="00E830FC" w:rsidP="00E830FC">
      <w:pPr>
        <w:pStyle w:val="Kop1"/>
        <w:rPr>
          <w:lang w:val="nl-NL"/>
        </w:rPr>
      </w:pPr>
      <w:bookmarkStart w:id="3" w:name="_Toc316372288"/>
      <w:bookmarkStart w:id="4" w:name="_Toc473900249"/>
      <w:bookmarkStart w:id="5" w:name="_Toc223624604"/>
      <w:r w:rsidRPr="00E830FC">
        <w:rPr>
          <w:lang w:val="nl-NL"/>
        </w:rPr>
        <w:t>Uitlenen van een personeelslid</w:t>
      </w:r>
      <w:bookmarkEnd w:id="3"/>
      <w:bookmarkEnd w:id="4"/>
      <w:bookmarkEnd w:id="5"/>
    </w:p>
    <w:p w14:paraId="5DACFCA5" w14:textId="10E74625" w:rsidR="00E830FC" w:rsidRPr="00E830FC" w:rsidRDefault="00E830FC" w:rsidP="00E830FC">
      <w:pPr>
        <w:rPr>
          <w:lang w:val="nl-NL"/>
        </w:rPr>
      </w:pPr>
      <w:r w:rsidRPr="00E830FC">
        <w:rPr>
          <w:lang w:val="nl-NL"/>
        </w:rPr>
        <w:t xml:space="preserve">Het personeelslid van de </w:t>
      </w:r>
      <w:r w:rsidR="00F00E21">
        <w:rPr>
          <w:lang w:val="nl-NL"/>
        </w:rPr>
        <w:t>juridische werkgever bl</w:t>
      </w:r>
      <w:r w:rsidRPr="00E830FC">
        <w:rPr>
          <w:lang w:val="nl-NL"/>
        </w:rPr>
        <w:t xml:space="preserve">ijft werken onder het gezag van </w:t>
      </w:r>
      <w:r w:rsidR="00916D75">
        <w:rPr>
          <w:lang w:val="nl-NL"/>
        </w:rPr>
        <w:t>de</w:t>
      </w:r>
      <w:r w:rsidRPr="00E830FC">
        <w:rPr>
          <w:lang w:val="nl-NL"/>
        </w:rPr>
        <w:t xml:space="preserve"> </w:t>
      </w:r>
      <w:r w:rsidR="00916D75">
        <w:rPr>
          <w:lang w:val="nl-NL"/>
        </w:rPr>
        <w:t>algemeen directeur</w:t>
      </w:r>
      <w:r w:rsidRPr="00E830FC">
        <w:rPr>
          <w:lang w:val="nl-NL"/>
        </w:rPr>
        <w:t xml:space="preserve">. Toch mag </w:t>
      </w:r>
      <w:r w:rsidR="00F00E21">
        <w:rPr>
          <w:lang w:val="nl-NL"/>
        </w:rPr>
        <w:t>de gebruiker</w:t>
      </w:r>
      <w:r w:rsidRPr="00E830FC">
        <w:rPr>
          <w:lang w:val="nl-NL"/>
        </w:rPr>
        <w:t xml:space="preserve"> instructies geven aan het personeelslid, zonder dat dit als </w:t>
      </w:r>
      <w:r w:rsidRPr="00E830FC">
        <w:rPr>
          <w:lang w:val="nl-NL"/>
        </w:rPr>
        <w:lastRenderedPageBreak/>
        <w:t xml:space="preserve">uitoefening van werkgeversgezag door </w:t>
      </w:r>
      <w:r w:rsidR="00F00E21">
        <w:rPr>
          <w:lang w:val="nl-NL"/>
        </w:rPr>
        <w:t xml:space="preserve">de gebruiker </w:t>
      </w:r>
      <w:r w:rsidRPr="00E830FC">
        <w:rPr>
          <w:lang w:val="nl-NL"/>
        </w:rPr>
        <w:t xml:space="preserve">wordt beschouwd. Dat is belangrijk, want de uitoefening van werkgeversgezag over een contractueel aangesteld personeelslid door iemand anders dan de werkgever, is </w:t>
      </w:r>
      <w:r w:rsidR="00F00E21">
        <w:rPr>
          <w:lang w:val="nl-NL"/>
        </w:rPr>
        <w:t>in principe verboden (zie punt 3</w:t>
      </w:r>
      <w:r w:rsidRPr="00E830FC">
        <w:rPr>
          <w:lang w:val="nl-NL"/>
        </w:rPr>
        <w:t>. Terbeschikkingstelling).</w:t>
      </w:r>
    </w:p>
    <w:p w14:paraId="5DACFCA6" w14:textId="77777777" w:rsidR="00E830FC" w:rsidRDefault="00E830FC" w:rsidP="00E830FC">
      <w:pPr>
        <w:rPr>
          <w:lang w:val="nl-NL"/>
        </w:rPr>
      </w:pPr>
    </w:p>
    <w:p w14:paraId="5DACFCA7" w14:textId="2A236D1B" w:rsidR="00E830FC" w:rsidRPr="00E830FC" w:rsidRDefault="00F00E21" w:rsidP="00E830FC">
      <w:pPr>
        <w:rPr>
          <w:lang w:val="nl-NL"/>
        </w:rPr>
      </w:pPr>
      <w:r>
        <w:rPr>
          <w:lang w:val="nl-NL"/>
        </w:rPr>
        <w:t>Volgens de wet mogen</w:t>
      </w:r>
      <w:r w:rsidR="00E830FC" w:rsidRPr="00E830FC">
        <w:rPr>
          <w:lang w:val="nl-NL"/>
        </w:rPr>
        <w:t xml:space="preserve"> volgende zaken niet als uitoefening van werkgeversgezag worden beschouwd (</w:t>
      </w:r>
      <w:r>
        <w:rPr>
          <w:lang w:val="nl-NL"/>
        </w:rPr>
        <w:t xml:space="preserve">artikel </w:t>
      </w:r>
      <w:r w:rsidR="00E830FC" w:rsidRPr="00E830FC">
        <w:rPr>
          <w:lang w:val="nl-NL"/>
        </w:rPr>
        <w:t>31</w:t>
      </w:r>
      <w:r w:rsidR="00E71E8F">
        <w:rPr>
          <w:lang w:val="nl-NL"/>
        </w:rPr>
        <w:t xml:space="preserve"> §</w:t>
      </w:r>
      <w:r w:rsidR="00B241ED">
        <w:rPr>
          <w:lang w:val="nl-NL"/>
        </w:rPr>
        <w:t>1 tweede en derde lid</w:t>
      </w:r>
      <w:r w:rsidR="00B241ED" w:rsidRPr="00E830FC">
        <w:rPr>
          <w:lang w:val="nl-NL"/>
        </w:rPr>
        <w:t xml:space="preserve"> </w:t>
      </w:r>
      <w:r w:rsidR="00E830FC" w:rsidRPr="00E830FC">
        <w:rPr>
          <w:lang w:val="nl-NL"/>
        </w:rPr>
        <w:t>van de wet van 24 juli 1987):</w:t>
      </w:r>
    </w:p>
    <w:p w14:paraId="5DACFCA8" w14:textId="7CD826C0" w:rsidR="00E830FC" w:rsidRPr="009F446E" w:rsidRDefault="00E830FC" w:rsidP="00E830FC">
      <w:pPr>
        <w:pStyle w:val="Opsomming"/>
        <w:tabs>
          <w:tab w:val="clear" w:pos="284"/>
        </w:tabs>
        <w:spacing w:after="280" w:line="280" w:lineRule="atLeast"/>
        <w:ind w:left="426" w:hanging="426"/>
        <w:rPr>
          <w:kern w:val="28"/>
        </w:rPr>
      </w:pPr>
      <w:r w:rsidRPr="004B7F4F">
        <w:t xml:space="preserve">het naleven door </w:t>
      </w:r>
      <w:r w:rsidR="00B10EDC">
        <w:t>de gebruiker</w:t>
      </w:r>
      <w:r w:rsidRPr="004B7F4F">
        <w:t xml:space="preserve"> van de verplichtingen inzake het welzijn op het werk, </w:t>
      </w:r>
    </w:p>
    <w:p w14:paraId="5DACFCA9" w14:textId="0C10581B" w:rsidR="00E830FC" w:rsidRPr="004B7F4F" w:rsidRDefault="00E830FC" w:rsidP="00E830FC">
      <w:pPr>
        <w:pStyle w:val="Opsomming"/>
        <w:tabs>
          <w:tab w:val="clear" w:pos="284"/>
        </w:tabs>
        <w:spacing w:after="280" w:line="280" w:lineRule="atLeast"/>
        <w:ind w:left="426" w:hanging="426"/>
      </w:pPr>
      <w:r w:rsidRPr="004B7F4F">
        <w:t>de instructies die door </w:t>
      </w:r>
      <w:r w:rsidR="00B10EDC">
        <w:t>de gebruiker</w:t>
      </w:r>
      <w:r w:rsidRPr="004B7F4F">
        <w:t xml:space="preserve"> worden gegeven in uitvoering van de </w:t>
      </w:r>
      <w:r w:rsidR="00E77919">
        <w:t>geschreven o</w:t>
      </w:r>
      <w:r w:rsidRPr="004B7F4F">
        <w:t xml:space="preserve">vereenkomst die deze met de </w:t>
      </w:r>
      <w:r w:rsidR="003A10A1">
        <w:t>werkgever</w:t>
      </w:r>
      <w:r w:rsidR="003A10A1" w:rsidRPr="004B7F4F">
        <w:t xml:space="preserve"> </w:t>
      </w:r>
      <w:r w:rsidRPr="004B7F4F">
        <w:t>verbindt, zowel inzake arbeids- en rusttijden, als inzake de uitvoering van het overeengekomen werk.</w:t>
      </w:r>
    </w:p>
    <w:p w14:paraId="5DACFCAA" w14:textId="3103F0D0" w:rsidR="00E05D5C" w:rsidRPr="00E05D5C" w:rsidRDefault="00FA3D54" w:rsidP="00E05D5C">
      <w:pPr>
        <w:rPr>
          <w:lang w:val="nl-NL"/>
        </w:rPr>
      </w:pPr>
      <w:r>
        <w:rPr>
          <w:lang w:val="nl-NL"/>
        </w:rPr>
        <w:t>Het</w:t>
      </w:r>
      <w:r w:rsidR="00E05D5C" w:rsidRPr="00E05D5C">
        <w:rPr>
          <w:lang w:val="nl-NL"/>
        </w:rPr>
        <w:t xml:space="preserve"> uitlenen van personeel </w:t>
      </w:r>
      <w:r>
        <w:rPr>
          <w:lang w:val="nl-NL"/>
        </w:rPr>
        <w:t xml:space="preserve">is </w:t>
      </w:r>
      <w:r w:rsidR="00E05D5C" w:rsidRPr="00E05D5C">
        <w:rPr>
          <w:lang w:val="nl-NL"/>
        </w:rPr>
        <w:t>sinds 1 januari 2013 strenger geworden.</w:t>
      </w:r>
      <w:r w:rsidR="00E05D5C" w:rsidRPr="00E05D5C">
        <w:rPr>
          <w:vertAlign w:val="superscript"/>
        </w:rPr>
        <w:footnoteReference w:id="3"/>
      </w:r>
      <w:r w:rsidR="00E05D5C" w:rsidRPr="00E05D5C">
        <w:rPr>
          <w:lang w:val="nl-NL"/>
        </w:rPr>
        <w:t xml:space="preserve"> </w:t>
      </w:r>
      <w:r>
        <w:rPr>
          <w:lang w:val="nl-NL"/>
        </w:rPr>
        <w:t>De piste is n</w:t>
      </w:r>
      <w:r w:rsidR="00E05D5C" w:rsidRPr="00E05D5C">
        <w:rPr>
          <w:lang w:val="nl-NL"/>
        </w:rPr>
        <w:t xml:space="preserve">og steeds mogelijk, maar dan onder de volgende voorwaarden: </w:t>
      </w:r>
    </w:p>
    <w:p w14:paraId="5DACFCAB" w14:textId="26DA71DD" w:rsidR="00E05D5C" w:rsidRPr="00E05D5C" w:rsidRDefault="00E05D5C" w:rsidP="00F41BA9">
      <w:pPr>
        <w:pStyle w:val="Opsomming"/>
        <w:tabs>
          <w:tab w:val="clear" w:pos="284"/>
        </w:tabs>
        <w:spacing w:after="280" w:line="280" w:lineRule="atLeast"/>
        <w:ind w:left="426" w:hanging="426"/>
        <w:rPr>
          <w:lang w:val="nl-NL"/>
        </w:rPr>
      </w:pPr>
      <w:r>
        <w:rPr>
          <w:lang w:val="nl-NL"/>
        </w:rPr>
        <w:t>d</w:t>
      </w:r>
      <w:r w:rsidRPr="00E05D5C">
        <w:rPr>
          <w:lang w:val="nl-NL"/>
        </w:rPr>
        <w:t xml:space="preserve">e instructies die </w:t>
      </w:r>
      <w:r w:rsidR="00F00E21">
        <w:rPr>
          <w:lang w:val="nl-NL"/>
        </w:rPr>
        <w:t>door de gebruiker</w:t>
      </w:r>
      <w:r w:rsidRPr="00E05D5C">
        <w:rPr>
          <w:lang w:val="nl-NL"/>
        </w:rPr>
        <w:t xml:space="preserve"> worden gegeve</w:t>
      </w:r>
      <w:r>
        <w:rPr>
          <w:lang w:val="nl-NL"/>
        </w:rPr>
        <w:t xml:space="preserve">n aan de personeelsleden van </w:t>
      </w:r>
      <w:r w:rsidRPr="00E05D5C">
        <w:rPr>
          <w:lang w:val="nl-NL"/>
        </w:rPr>
        <w:t xml:space="preserve">de </w:t>
      </w:r>
      <w:r w:rsidR="00F00E21">
        <w:rPr>
          <w:lang w:val="nl-NL"/>
        </w:rPr>
        <w:t>juridische werkgever</w:t>
      </w:r>
      <w:r w:rsidRPr="00E05D5C">
        <w:rPr>
          <w:lang w:val="nl-NL"/>
        </w:rPr>
        <w:t xml:space="preserve"> moeten vastgelegd worden in een geschreven overeenkomst, </w:t>
      </w:r>
    </w:p>
    <w:p w14:paraId="5DACFCAC" w14:textId="6FA404D0" w:rsidR="00E05D5C" w:rsidRPr="00E05D5C" w:rsidRDefault="00E05D5C" w:rsidP="00F41BA9">
      <w:pPr>
        <w:pStyle w:val="Opsomming"/>
        <w:tabs>
          <w:tab w:val="clear" w:pos="284"/>
        </w:tabs>
        <w:spacing w:after="280" w:line="280" w:lineRule="atLeast"/>
        <w:ind w:left="426" w:hanging="426"/>
        <w:rPr>
          <w:lang w:val="nl-NL"/>
        </w:rPr>
      </w:pPr>
      <w:r>
        <w:rPr>
          <w:lang w:val="nl-NL"/>
        </w:rPr>
        <w:t>w</w:t>
      </w:r>
      <w:r w:rsidRPr="00E05D5C">
        <w:rPr>
          <w:lang w:val="nl-NL"/>
        </w:rPr>
        <w:t xml:space="preserve">aarbij in deze geschreven overeenkomst uitdrukkelijk en gedetailleerd is bepaald welke instructies precies door </w:t>
      </w:r>
      <w:r w:rsidR="00F00E21">
        <w:rPr>
          <w:lang w:val="nl-NL"/>
        </w:rPr>
        <w:t>de gebruiker</w:t>
      </w:r>
      <w:r w:rsidRPr="00E05D5C">
        <w:rPr>
          <w:lang w:val="nl-NL"/>
        </w:rPr>
        <w:t xml:space="preserve"> kunnen worden gegeven aan de personeelsleden van </w:t>
      </w:r>
      <w:r w:rsidR="00F00E21">
        <w:rPr>
          <w:lang w:val="nl-NL"/>
        </w:rPr>
        <w:t>de juridische werkgever</w:t>
      </w:r>
      <w:r>
        <w:rPr>
          <w:lang w:val="nl-NL"/>
        </w:rPr>
        <w:t>,</w:t>
      </w:r>
    </w:p>
    <w:p w14:paraId="5DACFCAD" w14:textId="04769599" w:rsidR="00E05D5C" w:rsidRPr="00E05D5C" w:rsidRDefault="00E05D5C" w:rsidP="00F41BA9">
      <w:pPr>
        <w:pStyle w:val="Opsomming"/>
        <w:tabs>
          <w:tab w:val="clear" w:pos="284"/>
        </w:tabs>
        <w:spacing w:after="280" w:line="280" w:lineRule="atLeast"/>
        <w:ind w:left="426" w:hanging="426"/>
        <w:rPr>
          <w:lang w:val="nl-NL"/>
        </w:rPr>
      </w:pPr>
      <w:r>
        <w:rPr>
          <w:lang w:val="nl-NL"/>
        </w:rPr>
        <w:t>o</w:t>
      </w:r>
      <w:r w:rsidRPr="00E05D5C">
        <w:rPr>
          <w:lang w:val="nl-NL"/>
        </w:rPr>
        <w:t xml:space="preserve">p voorwaarde dat dit instructierecht van </w:t>
      </w:r>
      <w:r w:rsidR="00F00E21">
        <w:rPr>
          <w:lang w:val="nl-NL"/>
        </w:rPr>
        <w:t>de gebruiker</w:t>
      </w:r>
      <w:r w:rsidRPr="00E05D5C">
        <w:rPr>
          <w:lang w:val="nl-NL"/>
        </w:rPr>
        <w:t xml:space="preserve"> het werkgeversgezag van de </w:t>
      </w:r>
      <w:r w:rsidR="00F00E21">
        <w:rPr>
          <w:lang w:val="nl-NL"/>
        </w:rPr>
        <w:t xml:space="preserve">juridische werkgever </w:t>
      </w:r>
      <w:r w:rsidRPr="00E05D5C">
        <w:rPr>
          <w:lang w:val="nl-NL"/>
        </w:rPr>
        <w:t>op geen enkele wijze uitholt</w:t>
      </w:r>
      <w:r w:rsidR="003A10A1">
        <w:rPr>
          <w:lang w:val="nl-NL"/>
        </w:rPr>
        <w:t>,</w:t>
      </w:r>
    </w:p>
    <w:p w14:paraId="5DACFCAE" w14:textId="19C06007" w:rsidR="00E05D5C" w:rsidRPr="00E05D5C" w:rsidRDefault="00E05D5C" w:rsidP="00F41BA9">
      <w:pPr>
        <w:pStyle w:val="Opsomming"/>
        <w:tabs>
          <w:tab w:val="clear" w:pos="284"/>
        </w:tabs>
        <w:spacing w:after="280" w:line="280" w:lineRule="atLeast"/>
        <w:ind w:left="426" w:hanging="426"/>
        <w:rPr>
          <w:lang w:val="nl-NL"/>
        </w:rPr>
      </w:pPr>
      <w:r>
        <w:rPr>
          <w:lang w:val="nl-NL"/>
        </w:rPr>
        <w:t>e</w:t>
      </w:r>
      <w:r w:rsidRPr="00E05D5C">
        <w:rPr>
          <w:lang w:val="nl-NL"/>
        </w:rPr>
        <w:t xml:space="preserve">n op voorwaarde dat de feitelijke uitvoering van deze overeenkomst tussen </w:t>
      </w:r>
      <w:r w:rsidR="00F00E21">
        <w:rPr>
          <w:lang w:val="nl-NL"/>
        </w:rPr>
        <w:t xml:space="preserve">gebruiker en juridische werkgever </w:t>
      </w:r>
      <w:r w:rsidRPr="00E05D5C">
        <w:rPr>
          <w:lang w:val="nl-NL"/>
        </w:rPr>
        <w:t>volledig overeenstemt met de uitdrukkelijke bepalingen van voormelde geschreven overeenkomst.</w:t>
      </w:r>
    </w:p>
    <w:p w14:paraId="27CE17CD" w14:textId="77777777" w:rsidR="002322AA" w:rsidRDefault="002322AA" w:rsidP="00E05D5C">
      <w:pPr>
        <w:rPr>
          <w:lang w:val="nl-NL"/>
        </w:rPr>
      </w:pPr>
      <w:r>
        <w:rPr>
          <w:lang w:val="nl-NL"/>
        </w:rPr>
        <w:t>Verdere procedurevoorschriften</w:t>
      </w:r>
    </w:p>
    <w:p w14:paraId="7114BA7E" w14:textId="7314B0A5" w:rsidR="002322AA" w:rsidRDefault="002322AA" w:rsidP="002322AA">
      <w:pPr>
        <w:pStyle w:val="Opsomming"/>
        <w:tabs>
          <w:tab w:val="clear" w:pos="284"/>
        </w:tabs>
        <w:spacing w:after="280" w:line="280" w:lineRule="atLeast"/>
        <w:ind w:left="426" w:hanging="426"/>
        <w:rPr>
          <w:lang w:val="nl-NL"/>
        </w:rPr>
      </w:pPr>
      <w:r>
        <w:rPr>
          <w:lang w:val="nl-NL"/>
        </w:rPr>
        <w:t>D</w:t>
      </w:r>
      <w:r w:rsidR="00E05D5C">
        <w:rPr>
          <w:lang w:val="nl-NL"/>
        </w:rPr>
        <w:t xml:space="preserve">e derde (hier: </w:t>
      </w:r>
      <w:r w:rsidR="00F00E21">
        <w:rPr>
          <w:lang w:val="nl-NL"/>
        </w:rPr>
        <w:t>de gebruiker</w:t>
      </w:r>
      <w:r w:rsidR="00E05D5C">
        <w:rPr>
          <w:lang w:val="nl-NL"/>
        </w:rPr>
        <w:t>)</w:t>
      </w:r>
      <w:r w:rsidR="00E05D5C" w:rsidRPr="00E05D5C">
        <w:rPr>
          <w:lang w:val="nl-NL"/>
        </w:rPr>
        <w:t xml:space="preserve"> </w:t>
      </w:r>
      <w:r>
        <w:rPr>
          <w:lang w:val="nl-NL"/>
        </w:rPr>
        <w:t xml:space="preserve">brengt </w:t>
      </w:r>
      <w:r w:rsidR="00F00E21">
        <w:rPr>
          <w:lang w:val="nl-NL"/>
        </w:rPr>
        <w:t xml:space="preserve">het hoog </w:t>
      </w:r>
      <w:r w:rsidR="00E05D5C">
        <w:rPr>
          <w:lang w:val="nl-NL"/>
        </w:rPr>
        <w:t xml:space="preserve">overlegcomité </w:t>
      </w:r>
      <w:r w:rsidR="00E05D5C" w:rsidRPr="00E05D5C">
        <w:rPr>
          <w:lang w:val="nl-NL"/>
        </w:rPr>
        <w:t>(</w:t>
      </w:r>
      <w:r w:rsidR="00E05D5C">
        <w:rPr>
          <w:lang w:val="nl-NL"/>
        </w:rPr>
        <w:t xml:space="preserve">dat </w:t>
      </w:r>
      <w:r w:rsidR="003A10A1">
        <w:rPr>
          <w:lang w:val="nl-NL"/>
        </w:rPr>
        <w:t xml:space="preserve">in principe </w:t>
      </w:r>
      <w:r w:rsidR="00E05D5C">
        <w:rPr>
          <w:lang w:val="nl-NL"/>
        </w:rPr>
        <w:t xml:space="preserve">de bevoegdheden uitoefent die in de private sector </w:t>
      </w:r>
      <w:r w:rsidR="00F00E21">
        <w:rPr>
          <w:lang w:val="nl-NL"/>
        </w:rPr>
        <w:t xml:space="preserve">toevertrouwd zijn </w:t>
      </w:r>
      <w:r w:rsidR="00E05D5C">
        <w:rPr>
          <w:lang w:val="nl-NL"/>
        </w:rPr>
        <w:t xml:space="preserve">aan het </w:t>
      </w:r>
      <w:r w:rsidR="00E05D5C" w:rsidRPr="00E05D5C">
        <w:rPr>
          <w:lang w:val="nl-NL"/>
        </w:rPr>
        <w:t>Comité bevoegd voor preventie en bescherming op het werk</w:t>
      </w:r>
      <w:r w:rsidR="00FA3D54">
        <w:rPr>
          <w:rStyle w:val="Voetnootmarkering"/>
          <w:lang w:val="nl-NL"/>
        </w:rPr>
        <w:footnoteReference w:id="4"/>
      </w:r>
      <w:r w:rsidR="00E05D5C">
        <w:rPr>
          <w:lang w:val="nl-NL"/>
        </w:rPr>
        <w:t>)</w:t>
      </w:r>
      <w:r w:rsidR="00E05D5C" w:rsidRPr="00E05D5C">
        <w:rPr>
          <w:lang w:val="nl-NL"/>
        </w:rPr>
        <w:t xml:space="preserve"> onverwijld op de hoogte van het bestaan van deze beheersovereenkomst. </w:t>
      </w:r>
    </w:p>
    <w:p w14:paraId="5DACFCAF" w14:textId="59FA4422" w:rsidR="00E830FC" w:rsidRPr="00E830FC" w:rsidRDefault="00F00E21" w:rsidP="002322AA">
      <w:pPr>
        <w:pStyle w:val="Opsomming"/>
        <w:tabs>
          <w:tab w:val="clear" w:pos="284"/>
        </w:tabs>
        <w:spacing w:after="280" w:line="280" w:lineRule="atLeast"/>
        <w:ind w:left="426" w:hanging="426"/>
        <w:rPr>
          <w:lang w:val="nl-NL"/>
        </w:rPr>
      </w:pPr>
      <w:r>
        <w:rPr>
          <w:lang w:val="nl-NL"/>
        </w:rPr>
        <w:t>De gebruiker</w:t>
      </w:r>
      <w:r w:rsidR="00E05D5C" w:rsidRPr="00E05D5C">
        <w:rPr>
          <w:lang w:val="nl-NL"/>
        </w:rPr>
        <w:t xml:space="preserve"> bezorgt vervolgens aan de leden van </w:t>
      </w:r>
      <w:r w:rsidR="00E05D5C">
        <w:rPr>
          <w:lang w:val="nl-NL"/>
        </w:rPr>
        <w:t xml:space="preserve">het </w:t>
      </w:r>
      <w:r>
        <w:rPr>
          <w:lang w:val="nl-NL"/>
        </w:rPr>
        <w:t>hoog</w:t>
      </w:r>
      <w:r w:rsidR="00E05D5C">
        <w:rPr>
          <w:lang w:val="nl-NL"/>
        </w:rPr>
        <w:t xml:space="preserve"> overlegcomité</w:t>
      </w:r>
      <w:r w:rsidR="00E05D5C" w:rsidRPr="00E05D5C">
        <w:rPr>
          <w:lang w:val="nl-NL"/>
        </w:rPr>
        <w:t xml:space="preserve"> </w:t>
      </w:r>
      <w:r w:rsidR="00E05D5C" w:rsidRPr="002322AA">
        <w:rPr>
          <w:i/>
          <w:iCs/>
          <w:lang w:val="nl-NL"/>
        </w:rPr>
        <w:t>die hierom verzoeken</w:t>
      </w:r>
      <w:r w:rsidR="00E05D5C" w:rsidRPr="00E05D5C">
        <w:rPr>
          <w:lang w:val="nl-NL"/>
        </w:rPr>
        <w:t xml:space="preserve">, een afschrift van het gedeelte van de beheersovereenkomst waarin de instructies zijn bepaald die door </w:t>
      </w:r>
      <w:r>
        <w:rPr>
          <w:lang w:val="nl-NL"/>
        </w:rPr>
        <w:t>de gebruiker</w:t>
      </w:r>
      <w:r w:rsidR="00E05D5C" w:rsidRPr="00E05D5C">
        <w:rPr>
          <w:lang w:val="nl-NL"/>
        </w:rPr>
        <w:t xml:space="preserve"> aan de medewerkers van het bestuur kunnen worden gegeven. Wanneer </w:t>
      </w:r>
      <w:r>
        <w:rPr>
          <w:lang w:val="nl-NL"/>
        </w:rPr>
        <w:t>de gebruiker</w:t>
      </w:r>
      <w:r w:rsidR="00E05D5C" w:rsidRPr="00E05D5C">
        <w:rPr>
          <w:lang w:val="nl-NL"/>
        </w:rPr>
        <w:t xml:space="preserve">, na hiertoe een verzoek te hebben ontvangen, weigert om het bedoelde afschrift van de beheersovereenkomst over te </w:t>
      </w:r>
      <w:r w:rsidR="00E05D5C" w:rsidRPr="00E05D5C">
        <w:rPr>
          <w:lang w:val="nl-NL"/>
        </w:rPr>
        <w:lastRenderedPageBreak/>
        <w:t>maken, wordt een geschreven beheersovereenkomst geacht niet te bestaan en mogen de instructies niet gegeven worden</w:t>
      </w:r>
      <w:r w:rsidR="00E05D5C">
        <w:rPr>
          <w:lang w:val="nl-NL"/>
        </w:rPr>
        <w:t>.</w:t>
      </w:r>
      <w:r w:rsidR="00E05D5C" w:rsidRPr="00FB757F">
        <w:rPr>
          <w:bCs/>
          <w:vertAlign w:val="superscript"/>
        </w:rPr>
        <w:footnoteReference w:id="5"/>
      </w:r>
      <w:r w:rsidR="00E05D5C">
        <w:rPr>
          <w:lang w:val="nl-NL"/>
        </w:rPr>
        <w:t xml:space="preserve"> </w:t>
      </w:r>
      <w:r w:rsidR="00E830FC" w:rsidRPr="00E830FC">
        <w:rPr>
          <w:lang w:val="nl-NL"/>
        </w:rPr>
        <w:t xml:space="preserve">  </w:t>
      </w:r>
    </w:p>
    <w:p w14:paraId="15D11A51" w14:textId="77777777" w:rsidR="00FD47AE" w:rsidRPr="00541192" w:rsidRDefault="00F94676" w:rsidP="00FD47AE">
      <w:pPr>
        <w:pBdr>
          <w:top w:val="single" w:sz="4" w:space="1" w:color="auto"/>
          <w:left w:val="single" w:sz="4" w:space="4" w:color="auto"/>
          <w:bottom w:val="single" w:sz="4" w:space="1" w:color="auto"/>
          <w:right w:val="single" w:sz="4" w:space="4" w:color="auto"/>
        </w:pBdr>
        <w:jc w:val="both"/>
      </w:pPr>
      <w:bookmarkStart w:id="6" w:name="_Toc316372289"/>
      <w:r>
        <w:t xml:space="preserve">Zie </w:t>
      </w:r>
      <w:r w:rsidR="0062435F">
        <w:t>het</w:t>
      </w:r>
      <w:r>
        <w:t xml:space="preserve"> </w:t>
      </w:r>
      <w:r w:rsidR="0062435F">
        <w:t>VVSG-</w:t>
      </w:r>
      <w:r>
        <w:t xml:space="preserve">model van overeenkomst over het uitlenen van personeel </w:t>
      </w:r>
      <w:r w:rsidR="0062435F">
        <w:t xml:space="preserve">(KJA d528), </w:t>
      </w:r>
      <w:r>
        <w:t>naar aanleiding van de corona-epidemie</w:t>
      </w:r>
      <w:r w:rsidR="0062435F">
        <w:t xml:space="preserve"> (te vinden op </w:t>
      </w:r>
      <w:hyperlink r:id="rId11" w:history="1">
        <w:r w:rsidR="0062435F" w:rsidRPr="002147DC">
          <w:rPr>
            <w:rStyle w:val="Hyperlink"/>
          </w:rPr>
          <w:t>www.vvsg.be</w:t>
        </w:r>
      </w:hyperlink>
      <w:r w:rsidR="0062435F">
        <w:t xml:space="preserve"> </w:t>
      </w:r>
      <w:r w:rsidR="00FD47AE" w:rsidRPr="00541192">
        <w:t>&gt; Thema’s &gt; Bestuur &amp; organisatie &gt; Personeelsbeleid &gt; HR-cyclus &gt; Zorgvuldig en duurzaam aanwerven</w:t>
      </w:r>
    </w:p>
    <w:p w14:paraId="2DA7446F" w14:textId="29F3237E" w:rsidR="00F94676" w:rsidRPr="004B7F4F" w:rsidRDefault="00FD47AE" w:rsidP="00FD47AE">
      <w:pPr>
        <w:pBdr>
          <w:top w:val="single" w:sz="4" w:space="1" w:color="auto"/>
          <w:left w:val="single" w:sz="4" w:space="4" w:color="auto"/>
          <w:bottom w:val="single" w:sz="4" w:space="1" w:color="auto"/>
          <w:right w:val="single" w:sz="4" w:space="4" w:color="auto"/>
        </w:pBdr>
      </w:pPr>
      <w:r w:rsidRPr="00541192">
        <w:t xml:space="preserve">(of ook te vinden via </w:t>
      </w:r>
      <w:hyperlink r:id="rId12" w:history="1">
        <w:r w:rsidRPr="00541192">
          <w:rPr>
            <w:rStyle w:val="Hyperlink"/>
            <w:rFonts w:cs="Arial"/>
          </w:rPr>
          <w:t>www.vvsg.be</w:t>
        </w:r>
      </w:hyperlink>
      <w:r w:rsidRPr="00541192">
        <w:t xml:space="preserve"> </w:t>
      </w:r>
      <w:r w:rsidR="00893A35" w:rsidRPr="00541192">
        <w:t>&gt; Thema’s &gt; Bestuur &amp; organisatie &gt; Personeelsbeleid &gt; Besluitvorming personeelsbeleid &gt; Personeel bij verzelfstandiging en samenwerking</w:t>
      </w:r>
      <w:r w:rsidR="0062435F">
        <w:t>)</w:t>
      </w:r>
    </w:p>
    <w:p w14:paraId="5DACFCB2" w14:textId="77777777" w:rsidR="00E830FC" w:rsidRPr="00E830FC" w:rsidRDefault="00E830FC" w:rsidP="00E830FC">
      <w:pPr>
        <w:pStyle w:val="Kop1"/>
        <w:rPr>
          <w:lang w:val="nl-NL"/>
        </w:rPr>
      </w:pPr>
      <w:bookmarkStart w:id="7" w:name="_Toc473900250"/>
      <w:bookmarkStart w:id="8" w:name="_Toc223624605"/>
      <w:r w:rsidRPr="00E830FC">
        <w:rPr>
          <w:lang w:val="nl-NL"/>
        </w:rPr>
        <w:t>Terbeschikkingstelling</w:t>
      </w:r>
      <w:bookmarkEnd w:id="6"/>
      <w:bookmarkEnd w:id="7"/>
      <w:bookmarkEnd w:id="8"/>
    </w:p>
    <w:p w14:paraId="1E78ADAB" w14:textId="3CA54878" w:rsidR="00450498" w:rsidRPr="00450498" w:rsidRDefault="00E05D5C" w:rsidP="00450498">
      <w:r w:rsidRPr="00450498">
        <w:t>Zie meer informatie in een aparte nota over terbeschikkingstelling (MDL d1330).</w:t>
      </w:r>
      <w:bookmarkStart w:id="9" w:name="_Toc316372297"/>
      <w:r w:rsidR="006A5FE7">
        <w:t xml:space="preserve"> We gaan in die nota ook uitgebreid in op de BTW bij terbeschikkingstelling.</w:t>
      </w:r>
    </w:p>
    <w:p w14:paraId="5DACFCB3" w14:textId="0BCC0978" w:rsidR="00E830FC" w:rsidRPr="00E830FC" w:rsidRDefault="00E830FC" w:rsidP="00E830FC">
      <w:pPr>
        <w:pStyle w:val="Kop1"/>
        <w:rPr>
          <w:lang w:val="nl-NL"/>
        </w:rPr>
      </w:pPr>
      <w:bookmarkStart w:id="10" w:name="_Toc473900251"/>
      <w:bookmarkStart w:id="11" w:name="_Toc223624606"/>
      <w:r w:rsidRPr="00E830FC">
        <w:rPr>
          <w:lang w:val="nl-NL"/>
        </w:rPr>
        <w:t xml:space="preserve">Tijdelijk stopzetten arbeidsprestaties bij </w:t>
      </w:r>
      <w:r w:rsidR="00F00E21">
        <w:rPr>
          <w:lang w:val="nl-NL"/>
        </w:rPr>
        <w:t>het eerste lokaal bestuur</w:t>
      </w:r>
      <w:r w:rsidRPr="00E830FC">
        <w:rPr>
          <w:lang w:val="nl-NL"/>
        </w:rPr>
        <w:t xml:space="preserve"> om ondertussen bij </w:t>
      </w:r>
      <w:r w:rsidR="00F00E21">
        <w:rPr>
          <w:lang w:val="nl-NL"/>
        </w:rPr>
        <w:t>een tweede lokaal bestuur</w:t>
      </w:r>
      <w:r w:rsidRPr="00E830FC">
        <w:rPr>
          <w:lang w:val="nl-NL"/>
        </w:rPr>
        <w:t xml:space="preserve"> te gaan werken</w:t>
      </w:r>
      <w:bookmarkEnd w:id="9"/>
      <w:bookmarkEnd w:id="10"/>
      <w:bookmarkEnd w:id="11"/>
    </w:p>
    <w:p w14:paraId="5DACFCB4" w14:textId="77777777" w:rsidR="00E830FC" w:rsidRDefault="00E830FC" w:rsidP="00E830FC">
      <w:pPr>
        <w:rPr>
          <w:lang w:val="nl-NL"/>
        </w:rPr>
      </w:pPr>
      <w:r w:rsidRPr="00E830FC">
        <w:rPr>
          <w:lang w:val="nl-NL"/>
        </w:rPr>
        <w:t>De arbeidsovereenkomst van het contractueel aangestelde personeelslid wordt tijdelijk geschorst.</w:t>
      </w:r>
    </w:p>
    <w:p w14:paraId="5DACFCB5" w14:textId="77777777" w:rsidR="00CE727E" w:rsidRPr="00E830FC" w:rsidRDefault="00CE727E" w:rsidP="00E830FC">
      <w:pPr>
        <w:rPr>
          <w:lang w:val="nl-NL"/>
        </w:rPr>
      </w:pPr>
    </w:p>
    <w:p w14:paraId="5DACFCB6" w14:textId="0B7F9EA9" w:rsidR="00E830FC" w:rsidRDefault="00E830FC" w:rsidP="00E830FC">
      <w:pPr>
        <w:rPr>
          <w:lang w:val="nl-NL"/>
        </w:rPr>
      </w:pPr>
      <w:r w:rsidRPr="00E830FC">
        <w:rPr>
          <w:lang w:val="nl-NL"/>
        </w:rPr>
        <w:t xml:space="preserve">Het statutaire personeelslid krijgt bij zijn </w:t>
      </w:r>
      <w:r w:rsidR="00F00E21">
        <w:rPr>
          <w:lang w:val="nl-NL"/>
        </w:rPr>
        <w:t>eerste werkgever ve</w:t>
      </w:r>
      <w:r w:rsidRPr="00E830FC">
        <w:rPr>
          <w:lang w:val="nl-NL"/>
        </w:rPr>
        <w:t>rlof voor opdracht</w:t>
      </w:r>
      <w:r w:rsidR="00BC1780">
        <w:rPr>
          <w:lang w:val="nl-NL"/>
        </w:rPr>
        <w:t xml:space="preserve"> of onbetaald verlof (modaliteiten en voorwaarden na te gaan in de plaatselijke rechtspositieregeling)</w:t>
      </w:r>
      <w:r w:rsidRPr="00E830FC">
        <w:rPr>
          <w:lang w:val="nl-NL"/>
        </w:rPr>
        <w:t>.</w:t>
      </w:r>
    </w:p>
    <w:p w14:paraId="5DACFCB7" w14:textId="77777777" w:rsidR="00CE727E" w:rsidRPr="00E830FC" w:rsidRDefault="00CE727E" w:rsidP="00E830FC">
      <w:pPr>
        <w:rPr>
          <w:lang w:val="nl-NL"/>
        </w:rPr>
      </w:pPr>
    </w:p>
    <w:p w14:paraId="5DACFCB8" w14:textId="34713DFC" w:rsidR="00E830FC" w:rsidRDefault="00E830FC" w:rsidP="00E830FC">
      <w:pPr>
        <w:rPr>
          <w:lang w:val="nl-NL"/>
        </w:rPr>
      </w:pPr>
      <w:r w:rsidRPr="00E830FC">
        <w:rPr>
          <w:lang w:val="nl-NL"/>
        </w:rPr>
        <w:t xml:space="preserve">Het personeelslid (statutair/contractueel) komt tijdelijk niet meer voor </w:t>
      </w:r>
      <w:r w:rsidR="00F00E21">
        <w:rPr>
          <w:lang w:val="nl-NL"/>
        </w:rPr>
        <w:t>zijn eerste werkgever</w:t>
      </w:r>
      <w:r w:rsidRPr="00E830FC">
        <w:rPr>
          <w:lang w:val="nl-NL"/>
        </w:rPr>
        <w:t xml:space="preserve"> werken, maar blijft er juridisch mee verbonden en gaat ondertussen een andere arbeidsrelatie (statutair of contractueel) aan met </w:t>
      </w:r>
      <w:r w:rsidR="00F00E21">
        <w:rPr>
          <w:lang w:val="nl-NL"/>
        </w:rPr>
        <w:t>het tweede bestuur</w:t>
      </w:r>
      <w:r w:rsidRPr="00E830FC">
        <w:rPr>
          <w:lang w:val="nl-NL"/>
        </w:rPr>
        <w:t>.</w:t>
      </w:r>
    </w:p>
    <w:p w14:paraId="2FF81CF8" w14:textId="3C97CE4A" w:rsidR="00FC330E" w:rsidRDefault="00FC330E" w:rsidP="00FC330E">
      <w:pPr>
        <w:pStyle w:val="Kop1"/>
        <w:rPr>
          <w:lang w:val="nl-NL"/>
        </w:rPr>
      </w:pPr>
      <w:bookmarkStart w:id="12" w:name="_Toc223624607"/>
      <w:r>
        <w:rPr>
          <w:lang w:val="nl-NL"/>
        </w:rPr>
        <w:t>Personeelslid van ander lokaal bestuur aanwerven na procedure van externe personeelsmobiliteit</w:t>
      </w:r>
      <w:r w:rsidR="002209DF">
        <w:rPr>
          <w:rStyle w:val="Voetnootmarkering"/>
          <w:lang w:val="nl-NL"/>
        </w:rPr>
        <w:footnoteReference w:id="6"/>
      </w:r>
      <w:bookmarkEnd w:id="12"/>
    </w:p>
    <w:p w14:paraId="13250120" w14:textId="380CE4BF" w:rsidR="002209DF" w:rsidRDefault="002209DF" w:rsidP="00E830FC">
      <w:pPr>
        <w:rPr>
          <w:lang w:val="nl-NL"/>
        </w:rPr>
      </w:pPr>
      <w:r>
        <w:rPr>
          <w:lang w:val="nl-NL"/>
        </w:rPr>
        <w:t xml:space="preserve">Als een bestuur de procedure van externe personeelsmobiliteit opstart, geeft ze aan </w:t>
      </w:r>
      <w:r w:rsidR="00333170">
        <w:rPr>
          <w:lang w:val="nl-NL"/>
        </w:rPr>
        <w:t xml:space="preserve">sommige </w:t>
      </w:r>
      <w:r>
        <w:rPr>
          <w:lang w:val="nl-NL"/>
        </w:rPr>
        <w:t xml:space="preserve">medewerkers buiten het bestuur de mogelijkheid </w:t>
      </w:r>
      <w:r w:rsidR="00333170">
        <w:rPr>
          <w:lang w:val="nl-NL"/>
        </w:rPr>
        <w:t xml:space="preserve">om </w:t>
      </w:r>
      <w:r>
        <w:rPr>
          <w:lang w:val="nl-NL"/>
        </w:rPr>
        <w:t xml:space="preserve">deel te nemen aan een </w:t>
      </w:r>
      <w:r w:rsidR="00333170">
        <w:rPr>
          <w:lang w:val="nl-NL"/>
        </w:rPr>
        <w:t xml:space="preserve">intern open verklaarde </w:t>
      </w:r>
      <w:r>
        <w:rPr>
          <w:lang w:val="nl-NL"/>
        </w:rPr>
        <w:t>sollicitatieprocedure, zoals de procedure van interne personeel</w:t>
      </w:r>
      <w:r w:rsidR="00333170">
        <w:rPr>
          <w:lang w:val="nl-NL"/>
        </w:rPr>
        <w:t>s</w:t>
      </w:r>
      <w:r>
        <w:rPr>
          <w:lang w:val="nl-NL"/>
        </w:rPr>
        <w:t xml:space="preserve">mobiliteit of de </w:t>
      </w:r>
      <w:r w:rsidR="00333170">
        <w:rPr>
          <w:lang w:val="nl-NL"/>
        </w:rPr>
        <w:t>bevorderings</w:t>
      </w:r>
      <w:r>
        <w:rPr>
          <w:lang w:val="nl-NL"/>
        </w:rPr>
        <w:t xml:space="preserve">procedure. </w:t>
      </w:r>
    </w:p>
    <w:p w14:paraId="7F58C485" w14:textId="47F33DDD" w:rsidR="00754620" w:rsidRDefault="002209DF" w:rsidP="00E830FC">
      <w:pPr>
        <w:rPr>
          <w:lang w:val="nl-NL"/>
        </w:rPr>
      </w:pPr>
      <w:r>
        <w:rPr>
          <w:lang w:val="nl-NL"/>
        </w:rPr>
        <w:lastRenderedPageBreak/>
        <w:t xml:space="preserve">De medewerkers buiten het bestuur zijn werkzaam in een ander bestuur, dus bij andere lokale of provinciale overheden, de Vlaamse of de federale overheid. </w:t>
      </w:r>
      <w:r w:rsidR="00333170">
        <w:rPr>
          <w:lang w:val="nl-NL"/>
        </w:rPr>
        <w:t>Medewerkers van de gemeente, het OCMW van de gemeente, het autonoom gemeentebedrijf van de gemeente, de welzijnsvereniging of de autonome verzorgingsinstelling van die gemeente kunnen sowieso deelnemen aan elkaars intern open verklaarde sollicitatieprocedures als de aanstellende overheid hiervoor kiest.</w:t>
      </w:r>
      <w:r w:rsidR="00333170">
        <w:rPr>
          <w:rStyle w:val="Voetnootmarkering"/>
          <w:lang w:val="nl-NL"/>
        </w:rPr>
        <w:footnoteReference w:id="7"/>
      </w:r>
      <w:r w:rsidR="00333170">
        <w:rPr>
          <w:lang w:val="nl-NL"/>
        </w:rPr>
        <w:t xml:space="preserve"> </w:t>
      </w:r>
    </w:p>
    <w:p w14:paraId="54A115C7" w14:textId="77777777" w:rsidR="00EC642B" w:rsidRDefault="00EC642B" w:rsidP="002209DF">
      <w:pPr>
        <w:rPr>
          <w:lang w:val="nl-NL"/>
        </w:rPr>
      </w:pPr>
    </w:p>
    <w:p w14:paraId="5D48A1FE" w14:textId="77777777" w:rsidR="00877C68" w:rsidRDefault="00877C68" w:rsidP="00877C68">
      <w:pPr>
        <w:rPr>
          <w:lang w:val="nl-NL"/>
        </w:rPr>
      </w:pPr>
      <w:r>
        <w:rPr>
          <w:lang w:val="nl-NL"/>
        </w:rPr>
        <w:t xml:space="preserve">Ondertussen zijn er twee bijzondere mogelijkheden van externe personeelsmobiliteit bijgekomen: de </w:t>
      </w:r>
      <w:r w:rsidRPr="00877C68">
        <w:rPr>
          <w:b/>
          <w:bCs/>
          <w:lang w:val="nl-NL"/>
        </w:rPr>
        <w:t>samenvoegingsmobiliteit</w:t>
      </w:r>
      <w:r>
        <w:rPr>
          <w:rStyle w:val="Voetnootmarkering"/>
          <w:lang w:val="nl-NL"/>
        </w:rPr>
        <w:footnoteReference w:id="8"/>
      </w:r>
      <w:r>
        <w:rPr>
          <w:lang w:val="nl-NL"/>
        </w:rPr>
        <w:t xml:space="preserve"> en de </w:t>
      </w:r>
      <w:r w:rsidRPr="00877C68">
        <w:rPr>
          <w:b/>
          <w:bCs/>
          <w:lang w:val="nl-NL"/>
        </w:rPr>
        <w:t>regiomobiliteit</w:t>
      </w:r>
      <w:r>
        <w:rPr>
          <w:rStyle w:val="Voetnootmarkering"/>
          <w:lang w:val="nl-NL"/>
        </w:rPr>
        <w:footnoteReference w:id="9"/>
      </w:r>
      <w:r>
        <w:rPr>
          <w:lang w:val="nl-NL"/>
        </w:rPr>
        <w:t xml:space="preserve">. Het uitgangspunt blijft hetzelfde: een externe medewerker mag (toch) deelnemen aan interne sollicitatieprocedures, bijv. omdat hij tot dezelfde referentieregio behoort of in het kader van een fusie (samenvoeging) van gemeenten. </w:t>
      </w:r>
    </w:p>
    <w:p w14:paraId="2220893C" w14:textId="77777777" w:rsidR="00877C68" w:rsidRPr="002209DF" w:rsidRDefault="00877C68" w:rsidP="00877C68">
      <w:pPr>
        <w:rPr>
          <w:lang w:val="nl-NL"/>
        </w:rPr>
      </w:pPr>
    </w:p>
    <w:p w14:paraId="08B3C631" w14:textId="553D7E5D" w:rsidR="00EC642B" w:rsidRDefault="002209DF" w:rsidP="002209DF">
      <w:pPr>
        <w:rPr>
          <w:lang w:val="nl-NL"/>
        </w:rPr>
      </w:pPr>
      <w:r w:rsidRPr="002209DF">
        <w:rPr>
          <w:lang w:val="nl-NL"/>
        </w:rPr>
        <w:t xml:space="preserve">De </w:t>
      </w:r>
      <w:r w:rsidR="00EC642B">
        <w:rPr>
          <w:lang w:val="nl-NL"/>
        </w:rPr>
        <w:t>(adjunct-)</w:t>
      </w:r>
      <w:r w:rsidRPr="002209DF">
        <w:rPr>
          <w:lang w:val="nl-NL"/>
        </w:rPr>
        <w:t xml:space="preserve">algemeen </w:t>
      </w:r>
      <w:r w:rsidR="00EC642B">
        <w:rPr>
          <w:lang w:val="nl-NL"/>
        </w:rPr>
        <w:t>en</w:t>
      </w:r>
      <w:r w:rsidRPr="002209DF">
        <w:rPr>
          <w:lang w:val="nl-NL"/>
        </w:rPr>
        <w:t xml:space="preserve"> financieel directeur komen niet in aanmerking voor een procedure van externe personeelsmobiliteit.</w:t>
      </w:r>
    </w:p>
    <w:p w14:paraId="24642D84" w14:textId="77777777" w:rsidR="002209DF" w:rsidRPr="002209DF" w:rsidRDefault="002209DF" w:rsidP="002209DF">
      <w:pPr>
        <w:rPr>
          <w:lang w:val="nl-NL"/>
        </w:rPr>
      </w:pPr>
    </w:p>
    <w:p w14:paraId="5EF1F310" w14:textId="2E5F3453" w:rsidR="00754620" w:rsidRPr="00E830FC" w:rsidRDefault="00754620" w:rsidP="00E830FC">
      <w:pPr>
        <w:rPr>
          <w:lang w:val="nl-NL"/>
        </w:rPr>
      </w:pPr>
      <w:r>
        <w:rPr>
          <w:lang w:val="nl-NL"/>
        </w:rPr>
        <w:t>I</w:t>
      </w:r>
      <w:r w:rsidRPr="00754620">
        <w:rPr>
          <w:lang w:val="nl-NL"/>
        </w:rPr>
        <w:t>ntergemeentelijke samenwerkingsverbanden</w:t>
      </w:r>
      <w:r>
        <w:rPr>
          <w:lang w:val="nl-NL"/>
        </w:rPr>
        <w:t xml:space="preserve"> zij</w:t>
      </w:r>
      <w:r w:rsidR="00877C68">
        <w:rPr>
          <w:lang w:val="nl-NL"/>
        </w:rPr>
        <w:t>n</w:t>
      </w:r>
      <w:r w:rsidRPr="00754620">
        <w:rPr>
          <w:lang w:val="nl-NL"/>
        </w:rPr>
        <w:t xml:space="preserve"> verstoken van de mogelijkheid om een verkorte sollicitatieprocedure te voeren</w:t>
      </w:r>
      <w:r w:rsidR="00877C68">
        <w:rPr>
          <w:lang w:val="nl-NL"/>
        </w:rPr>
        <w:t xml:space="preserve">: </w:t>
      </w:r>
      <w:r w:rsidRPr="00754620">
        <w:rPr>
          <w:lang w:val="nl-NL"/>
        </w:rPr>
        <w:t xml:space="preserve">het </w:t>
      </w:r>
      <w:r w:rsidR="00916D75">
        <w:rPr>
          <w:lang w:val="nl-NL"/>
        </w:rPr>
        <w:t xml:space="preserve">Decreet Lokaal bestuur </w:t>
      </w:r>
      <w:r w:rsidR="00C90C0F">
        <w:rPr>
          <w:lang w:val="nl-NL"/>
        </w:rPr>
        <w:t>biedt</w:t>
      </w:r>
      <w:r w:rsidRPr="00754620">
        <w:rPr>
          <w:lang w:val="nl-NL"/>
        </w:rPr>
        <w:t xml:space="preserve"> </w:t>
      </w:r>
      <w:r w:rsidR="00877C68">
        <w:rPr>
          <w:lang w:val="nl-NL"/>
        </w:rPr>
        <w:t>helaas</w:t>
      </w:r>
      <w:r w:rsidRPr="00754620">
        <w:rPr>
          <w:lang w:val="nl-NL"/>
        </w:rPr>
        <w:t xml:space="preserve"> geen rechtsgrond.</w:t>
      </w:r>
    </w:p>
    <w:p w14:paraId="5DACFCB9" w14:textId="42C25FB8" w:rsidR="00E830FC" w:rsidRPr="00E830FC" w:rsidRDefault="00BC1780" w:rsidP="00E830FC">
      <w:pPr>
        <w:pStyle w:val="Kop1"/>
        <w:rPr>
          <w:lang w:val="nl-NL"/>
        </w:rPr>
      </w:pPr>
      <w:bookmarkStart w:id="13" w:name="_Toc223624608"/>
      <w:r>
        <w:rPr>
          <w:lang w:val="nl-NL"/>
        </w:rPr>
        <w:t xml:space="preserve">Overdracht </w:t>
      </w:r>
      <w:r w:rsidR="001E37B4">
        <w:rPr>
          <w:lang w:val="nl-NL"/>
        </w:rPr>
        <w:t>naar een ander lokaal bestuur</w:t>
      </w:r>
      <w:bookmarkEnd w:id="13"/>
    </w:p>
    <w:p w14:paraId="5DACFCBA" w14:textId="087EB077" w:rsidR="00E830FC" w:rsidRPr="00E830FC" w:rsidRDefault="00E830FC" w:rsidP="00CE727E">
      <w:pPr>
        <w:pStyle w:val="Kop2"/>
        <w:rPr>
          <w:lang w:val="nl-NL"/>
        </w:rPr>
      </w:pPr>
      <w:bookmarkStart w:id="14" w:name="_Toc316372299"/>
      <w:bookmarkStart w:id="15" w:name="_Toc473900253"/>
      <w:bookmarkStart w:id="16" w:name="_Toc223624609"/>
      <w:r w:rsidRPr="00E830FC">
        <w:rPr>
          <w:lang w:val="nl-NL"/>
        </w:rPr>
        <w:t xml:space="preserve">Overdracht van een </w:t>
      </w:r>
      <w:r w:rsidR="00CE727E">
        <w:rPr>
          <w:lang w:val="nl-NL"/>
        </w:rPr>
        <w:t xml:space="preserve">individueel </w:t>
      </w:r>
      <w:r w:rsidRPr="00E830FC">
        <w:rPr>
          <w:lang w:val="nl-NL"/>
        </w:rPr>
        <w:t>personeelslid</w:t>
      </w:r>
      <w:bookmarkEnd w:id="14"/>
      <w:bookmarkEnd w:id="15"/>
      <w:r w:rsidR="000E144F">
        <w:rPr>
          <w:lang w:val="nl-NL"/>
        </w:rPr>
        <w:t xml:space="preserve"> naar een ander lokaal bestuur</w:t>
      </w:r>
      <w:bookmarkEnd w:id="16"/>
    </w:p>
    <w:p w14:paraId="7A0174B3" w14:textId="0E40A634" w:rsidR="00BC1780" w:rsidRDefault="00BC1780" w:rsidP="00F22990">
      <w:pPr>
        <w:pStyle w:val="Duidelijkcitaat"/>
        <w:rPr>
          <w:lang w:val="nl-NL"/>
        </w:rPr>
      </w:pPr>
      <w:r>
        <w:rPr>
          <w:lang w:val="nl-NL"/>
        </w:rPr>
        <w:t>Is dit toegelaten?</w:t>
      </w:r>
    </w:p>
    <w:p w14:paraId="19CFE308" w14:textId="77777777" w:rsidR="00AC1191" w:rsidRDefault="00DA576D" w:rsidP="00FA3D54">
      <w:pPr>
        <w:rPr>
          <w:lang w:val="nl-NL"/>
        </w:rPr>
      </w:pPr>
      <w:r>
        <w:rPr>
          <w:lang w:val="nl-NL"/>
        </w:rPr>
        <w:t xml:space="preserve">Er moet een rechtsgrond zijn, omdat </w:t>
      </w:r>
      <w:r w:rsidR="004701D7">
        <w:rPr>
          <w:lang w:val="nl-NL"/>
        </w:rPr>
        <w:t>overdracht</w:t>
      </w:r>
      <w:r>
        <w:rPr>
          <w:lang w:val="nl-NL"/>
        </w:rPr>
        <w:t xml:space="preserve"> een afwijking is op het principe van de gelijke toegang tot het openbaar ambt. </w:t>
      </w:r>
    </w:p>
    <w:p w14:paraId="6D2153BA" w14:textId="77777777" w:rsidR="00AC1191" w:rsidRDefault="00AC1191" w:rsidP="00AC1191">
      <w:pPr>
        <w:rPr>
          <w:lang w:val="nl-NL"/>
        </w:rPr>
      </w:pPr>
    </w:p>
    <w:p w14:paraId="5C798019" w14:textId="3D9EC0D6" w:rsidR="00AC1191" w:rsidRDefault="00DA576D" w:rsidP="00AC1191">
      <w:pPr>
        <w:rPr>
          <w:lang w:val="nl-NL"/>
        </w:rPr>
      </w:pPr>
      <w:r>
        <w:rPr>
          <w:lang w:val="nl-NL"/>
        </w:rPr>
        <w:t>Artikel 1</w:t>
      </w:r>
      <w:r w:rsidR="00AC1191">
        <w:rPr>
          <w:lang w:val="nl-NL"/>
        </w:rPr>
        <w:t>85</w:t>
      </w:r>
      <w:r w:rsidR="0020327F">
        <w:rPr>
          <w:lang w:val="nl-NL"/>
        </w:rPr>
        <w:t>/1</w:t>
      </w:r>
      <w:r w:rsidR="00F33CE9">
        <w:rPr>
          <w:lang w:val="nl-NL"/>
        </w:rPr>
        <w:t xml:space="preserve"> §1</w:t>
      </w:r>
      <w:r w:rsidR="00AC1191">
        <w:rPr>
          <w:lang w:val="nl-NL"/>
        </w:rPr>
        <w:t xml:space="preserve"> Decreet Lokaal Bestuur maakt</w:t>
      </w:r>
      <w:r>
        <w:rPr>
          <w:lang w:val="nl-NL"/>
        </w:rPr>
        <w:t xml:space="preserve"> de overdracht van personeel</w:t>
      </w:r>
      <w:r w:rsidR="00FC2486">
        <w:rPr>
          <w:lang w:val="nl-NL"/>
        </w:rPr>
        <w:t xml:space="preserve"> (statutair/ contractant)</w:t>
      </w:r>
      <w:r>
        <w:rPr>
          <w:lang w:val="nl-NL"/>
        </w:rPr>
        <w:t xml:space="preserve"> </w:t>
      </w:r>
      <w:r w:rsidR="00FA3D54">
        <w:rPr>
          <w:lang w:val="nl-NL"/>
        </w:rPr>
        <w:t xml:space="preserve">tussen </w:t>
      </w:r>
      <w:r w:rsidR="00AC1191">
        <w:rPr>
          <w:lang w:val="nl-NL"/>
        </w:rPr>
        <w:t xml:space="preserve">de </w:t>
      </w:r>
      <w:r w:rsidR="00FA3D54">
        <w:rPr>
          <w:lang w:val="nl-NL"/>
        </w:rPr>
        <w:t>gemeente</w:t>
      </w:r>
      <w:r w:rsidR="00AC1191">
        <w:rPr>
          <w:lang w:val="nl-NL"/>
        </w:rPr>
        <w:t>,</w:t>
      </w:r>
      <w:r w:rsidR="00FA3D54">
        <w:rPr>
          <w:lang w:val="nl-NL"/>
        </w:rPr>
        <w:t xml:space="preserve"> </w:t>
      </w:r>
      <w:r w:rsidR="00AC1191">
        <w:rPr>
          <w:lang w:val="nl-NL"/>
        </w:rPr>
        <w:t xml:space="preserve">het </w:t>
      </w:r>
      <w:r w:rsidR="00FA3D54">
        <w:rPr>
          <w:lang w:val="nl-NL"/>
        </w:rPr>
        <w:t>OCMW</w:t>
      </w:r>
      <w:r w:rsidR="00AC1191">
        <w:rPr>
          <w:lang w:val="nl-NL"/>
        </w:rPr>
        <w:t xml:space="preserve">, het autonoom gemeentebedrijf, de publiekrechtelijke OCMW-vereniging en het intergemeentelijk samenwerkingsverband </w:t>
      </w:r>
      <w:r w:rsidR="00C26A1D">
        <w:rPr>
          <w:lang w:val="nl-NL"/>
        </w:rPr>
        <w:t xml:space="preserve">onder bepaalde voorwaarden </w:t>
      </w:r>
      <w:r>
        <w:rPr>
          <w:lang w:val="nl-NL"/>
        </w:rPr>
        <w:t>mogelijk.</w:t>
      </w:r>
      <w:r w:rsidR="00AC1191">
        <w:rPr>
          <w:lang w:val="nl-NL"/>
        </w:rPr>
        <w:t xml:space="preserve"> De overdracht van personeel is wel beperkt tot de lokale besturen van het zelfde grondgebied of tot de samenwerkingsverbanden waarin een van de lokale besturen participeert. </w:t>
      </w:r>
    </w:p>
    <w:p w14:paraId="68E45DAB" w14:textId="77777777" w:rsidR="00AC1191" w:rsidRDefault="00AC1191" w:rsidP="00AC1191">
      <w:pPr>
        <w:rPr>
          <w:lang w:val="nl-NL"/>
        </w:rPr>
      </w:pPr>
    </w:p>
    <w:p w14:paraId="4885158C" w14:textId="31DA7A8A" w:rsidR="00316DAE" w:rsidRDefault="00316DAE" w:rsidP="00AC1191">
      <w:pPr>
        <w:rPr>
          <w:lang w:val="nl-NL"/>
        </w:rPr>
      </w:pPr>
      <w:r w:rsidRPr="00316DAE">
        <w:rPr>
          <w:lang w:val="nl-NL"/>
        </w:rPr>
        <w:t xml:space="preserve">Verder </w:t>
      </w:r>
      <w:r>
        <w:rPr>
          <w:lang w:val="nl-NL"/>
        </w:rPr>
        <w:t xml:space="preserve">kunnen </w:t>
      </w:r>
      <w:r w:rsidRPr="00316DAE">
        <w:rPr>
          <w:lang w:val="nl-NL"/>
        </w:rPr>
        <w:t xml:space="preserve">diezelfde besturen </w:t>
      </w:r>
      <w:r w:rsidR="00EB6EF6">
        <w:rPr>
          <w:lang w:val="nl-NL"/>
        </w:rPr>
        <w:t xml:space="preserve">volgens artikel 185/1 §2 Decreet Lokaal Bestuur </w:t>
      </w:r>
      <w:r>
        <w:rPr>
          <w:lang w:val="nl-NL"/>
        </w:rPr>
        <w:t xml:space="preserve">onder bepaalde voorwaarden </w:t>
      </w:r>
      <w:r w:rsidRPr="00316DAE">
        <w:rPr>
          <w:lang w:val="nl-NL"/>
        </w:rPr>
        <w:t xml:space="preserve">contractanten overdragen naar een gemeentelijk extern </w:t>
      </w:r>
      <w:r w:rsidRPr="00316DAE">
        <w:rPr>
          <w:lang w:val="nl-NL"/>
        </w:rPr>
        <w:lastRenderedPageBreak/>
        <w:t xml:space="preserve">verzelfstandigd agentschap </w:t>
      </w:r>
      <w:r w:rsidRPr="00316DAE">
        <w:rPr>
          <w:u w:val="single"/>
          <w:lang w:val="nl-NL"/>
        </w:rPr>
        <w:t>in privaatrechtelijke vorm</w:t>
      </w:r>
      <w:r w:rsidRPr="00316DAE">
        <w:rPr>
          <w:lang w:val="nl-NL"/>
        </w:rPr>
        <w:t xml:space="preserve"> (bv. een gemeentelijke vzw), een ziekenhuisvereniging, een vereniging of vennootschap voor sociale dienstverlening, een woonzorgvereniging of -vennootschap of een woonmaatschappij</w:t>
      </w:r>
      <w:r>
        <w:rPr>
          <w:lang w:val="nl-NL"/>
        </w:rPr>
        <w:t>. D</w:t>
      </w:r>
      <w:r w:rsidRPr="00316DAE">
        <w:rPr>
          <w:lang w:val="nl-NL"/>
        </w:rPr>
        <w:t xml:space="preserve">e overdragende overheid </w:t>
      </w:r>
      <w:r>
        <w:rPr>
          <w:lang w:val="nl-NL"/>
        </w:rPr>
        <w:t xml:space="preserve">moet </w:t>
      </w:r>
      <w:r w:rsidRPr="00316DAE">
        <w:rPr>
          <w:lang w:val="nl-NL"/>
        </w:rPr>
        <w:t xml:space="preserve">deelgenoot </w:t>
      </w:r>
      <w:r>
        <w:rPr>
          <w:lang w:val="nl-NL"/>
        </w:rPr>
        <w:t>zijn</w:t>
      </w:r>
      <w:r w:rsidRPr="00316DAE">
        <w:rPr>
          <w:lang w:val="nl-NL"/>
        </w:rPr>
        <w:t xml:space="preserve"> van de overnemende rechtspersoon. </w:t>
      </w:r>
      <w:r w:rsidR="00EB6EF6">
        <w:rPr>
          <w:lang w:val="nl-NL"/>
        </w:rPr>
        <w:t>Enkel b</w:t>
      </w:r>
      <w:r w:rsidRPr="00316DAE">
        <w:rPr>
          <w:lang w:val="nl-NL"/>
        </w:rPr>
        <w:t>ij een woonmaatschappij geldt die voorwaarde niet</w:t>
      </w:r>
      <w:r w:rsidR="00EB6EF6">
        <w:rPr>
          <w:lang w:val="nl-NL"/>
        </w:rPr>
        <w:t>.</w:t>
      </w:r>
    </w:p>
    <w:p w14:paraId="5AF042C8" w14:textId="77777777" w:rsidR="00316DAE" w:rsidRDefault="00316DAE" w:rsidP="00AC1191">
      <w:pPr>
        <w:rPr>
          <w:lang w:val="nl-NL"/>
        </w:rPr>
      </w:pPr>
    </w:p>
    <w:p w14:paraId="24E6F47F" w14:textId="317B76A4" w:rsidR="00BC1780" w:rsidRDefault="00AC1191" w:rsidP="00AC1191">
      <w:pPr>
        <w:rPr>
          <w:lang w:val="nl-NL"/>
        </w:rPr>
      </w:pPr>
      <w:r>
        <w:rPr>
          <w:lang w:val="nl-NL"/>
        </w:rPr>
        <w:t>Artikel 197 Decreet Lokaal Bestuur zoomt</w:t>
      </w:r>
      <w:r w:rsidR="00DB7E1D">
        <w:rPr>
          <w:lang w:val="nl-NL"/>
        </w:rPr>
        <w:t xml:space="preserve"> in - enigszins dubbel op met artikel 185/1 §1 Decreet Lokaal Bestuur -</w:t>
      </w:r>
      <w:r>
        <w:rPr>
          <w:lang w:val="nl-NL"/>
        </w:rPr>
        <w:t xml:space="preserve"> op de overdracht van personeel tussen gemeente en OCMW, en de eraan verbonden beperkingen. Zo is het niet mogelijk om het OCMW-personeel van de sociale dienst – de kerntaak van elk OCMW – over te dragen naar de gemeente. Omgekeerd kunnen de algemeen en financieel directeuren en hun eventuele adjuncten niet naar het OCMW worden overgedragen. </w:t>
      </w:r>
    </w:p>
    <w:p w14:paraId="15B3986B" w14:textId="77777777" w:rsidR="005C5D35" w:rsidRDefault="005C5D35" w:rsidP="00AC1191">
      <w:pPr>
        <w:rPr>
          <w:lang w:val="nl-NL"/>
        </w:rPr>
      </w:pPr>
    </w:p>
    <w:p w14:paraId="4456245B" w14:textId="5950A6B5" w:rsidR="005C5D35" w:rsidRDefault="005C5D35" w:rsidP="00AC1191">
      <w:pPr>
        <w:rPr>
          <w:lang w:val="nl-NL"/>
        </w:rPr>
      </w:pPr>
      <w:r>
        <w:t xml:space="preserve">Ook artikel </w:t>
      </w:r>
      <w:r w:rsidRPr="005C5D35">
        <w:t xml:space="preserve">230 DLB </w:t>
      </w:r>
      <w:r>
        <w:t xml:space="preserve">stelt in het algemeen dat </w:t>
      </w:r>
      <w:r w:rsidRPr="005C5D35">
        <w:t xml:space="preserve">een gemeente personeel </w:t>
      </w:r>
      <w:r>
        <w:t xml:space="preserve">mag </w:t>
      </w:r>
      <w:r w:rsidRPr="005C5D35">
        <w:t>overdragen naar een autonoom gemeentebedrijf of naar een gemeentelijke vzw, stichting of vennootschap</w:t>
      </w:r>
      <w:r>
        <w:t>,</w:t>
      </w:r>
      <w:r w:rsidRPr="005C5D35">
        <w:t xml:space="preserve"> voor zover die belast is met taken van gemeentelijk belang.</w:t>
      </w:r>
    </w:p>
    <w:p w14:paraId="07B21098" w14:textId="77777777" w:rsidR="00DA576D" w:rsidRDefault="00DA576D" w:rsidP="00FA3D54">
      <w:pPr>
        <w:rPr>
          <w:lang w:val="nl-NL"/>
        </w:rPr>
      </w:pPr>
    </w:p>
    <w:p w14:paraId="69FE34F3" w14:textId="638566B5" w:rsidR="00AC1191" w:rsidRPr="00BC1780" w:rsidRDefault="00DA576D" w:rsidP="00FA3D54">
      <w:pPr>
        <w:rPr>
          <w:lang w:val="nl-NL"/>
        </w:rPr>
      </w:pPr>
      <w:r>
        <w:rPr>
          <w:lang w:val="nl-NL"/>
        </w:rPr>
        <w:t>Als er geen rechtsgrond is (bv. tussen gemeenten</w:t>
      </w:r>
      <w:r w:rsidR="00C33734">
        <w:rPr>
          <w:lang w:val="nl-NL"/>
        </w:rPr>
        <w:t xml:space="preserve"> onderling, tussen</w:t>
      </w:r>
      <w:r>
        <w:rPr>
          <w:lang w:val="nl-NL"/>
        </w:rPr>
        <w:t xml:space="preserve"> OCMW’s onderling of tussen gemeenten en OCMW’s van een verschillend grondgebied</w:t>
      </w:r>
      <w:r w:rsidR="002F5F64">
        <w:rPr>
          <w:rStyle w:val="Voetnootmarkering"/>
          <w:lang w:val="nl-NL"/>
        </w:rPr>
        <w:footnoteReference w:id="10"/>
      </w:r>
      <w:r>
        <w:rPr>
          <w:lang w:val="nl-NL"/>
        </w:rPr>
        <w:t xml:space="preserve">), is de piste van overdracht </w:t>
      </w:r>
      <w:r>
        <w:rPr>
          <w:lang w:val="nl-NL"/>
        </w:rPr>
        <w:lastRenderedPageBreak/>
        <w:t>niet mogelijk</w:t>
      </w:r>
      <w:r w:rsidR="00FA3D54">
        <w:rPr>
          <w:lang w:val="nl-NL"/>
        </w:rPr>
        <w:t xml:space="preserve"> en geldt het algemeen beginsel van gelijke toegang tot het openbaar ambt, zodat een sollicitatieprocedure nodig is. Een lokaal bestuur</w:t>
      </w:r>
      <w:r>
        <w:rPr>
          <w:lang w:val="nl-NL"/>
        </w:rPr>
        <w:t xml:space="preserve"> kan dan wel gebruik maken van externe personeelsmobiliteit, om gerichter en sneller aan te werven. Zie hoger (punt 5).</w:t>
      </w:r>
    </w:p>
    <w:p w14:paraId="4E132D86" w14:textId="06CB8241" w:rsidR="000E144F" w:rsidRDefault="00F22990" w:rsidP="00F22990">
      <w:pPr>
        <w:pStyle w:val="Duidelijkcitaat"/>
        <w:rPr>
          <w:lang w:val="nl-NL"/>
        </w:rPr>
      </w:pPr>
      <w:r>
        <w:rPr>
          <w:lang w:val="nl-NL"/>
        </w:rPr>
        <w:t xml:space="preserve">Is het akkoord van het personeelslid nodig? </w:t>
      </w:r>
    </w:p>
    <w:p w14:paraId="4C32BBFF" w14:textId="27FDDDFA" w:rsidR="00125C76" w:rsidRDefault="00125C76" w:rsidP="00E830FC">
      <w:pPr>
        <w:rPr>
          <w:lang w:val="nl-NL"/>
        </w:rPr>
      </w:pPr>
      <w:r>
        <w:rPr>
          <w:lang w:val="nl-NL"/>
        </w:rPr>
        <w:t xml:space="preserve">Volgens </w:t>
      </w:r>
      <w:r w:rsidR="00EE22A1">
        <w:rPr>
          <w:lang w:val="nl-NL"/>
        </w:rPr>
        <w:t>de VVSG</w:t>
      </w:r>
      <w:r>
        <w:rPr>
          <w:lang w:val="nl-NL"/>
        </w:rPr>
        <w:t xml:space="preserve"> moet het </w:t>
      </w:r>
      <w:r w:rsidRPr="00F22990">
        <w:rPr>
          <w:u w:val="single"/>
          <w:lang w:val="nl-NL"/>
        </w:rPr>
        <w:t>contractueel</w:t>
      </w:r>
      <w:r>
        <w:rPr>
          <w:lang w:val="nl-NL"/>
        </w:rPr>
        <w:t xml:space="preserve"> aangestelde personeelslid instemmen met een overdracht </w:t>
      </w:r>
      <w:r w:rsidR="000E144F">
        <w:rPr>
          <w:lang w:val="nl-NL"/>
        </w:rPr>
        <w:t>naar een ander lokaal bestuur</w:t>
      </w:r>
      <w:r>
        <w:rPr>
          <w:lang w:val="nl-NL"/>
        </w:rPr>
        <w:t xml:space="preserve">, tenzij de overdracht gekaderd is in een collectieve overdracht van diensten (zie verder, punt </w:t>
      </w:r>
      <w:r w:rsidR="00FC330E">
        <w:rPr>
          <w:lang w:val="nl-NL"/>
        </w:rPr>
        <w:t>6</w:t>
      </w:r>
      <w:r>
        <w:rPr>
          <w:lang w:val="nl-NL"/>
        </w:rPr>
        <w:t>.2).</w:t>
      </w:r>
      <w:r w:rsidR="00FC330E">
        <w:rPr>
          <w:lang w:val="nl-NL"/>
        </w:rPr>
        <w:t xml:space="preserve"> </w:t>
      </w:r>
    </w:p>
    <w:p w14:paraId="666D1AA8" w14:textId="6034D309" w:rsidR="00125C76" w:rsidRDefault="00125C76" w:rsidP="00E830FC">
      <w:pPr>
        <w:rPr>
          <w:lang w:val="nl-NL"/>
        </w:rPr>
      </w:pPr>
      <w:r>
        <w:rPr>
          <w:lang w:val="nl-NL"/>
        </w:rPr>
        <w:t>Als de contractant akkoord gaat</w:t>
      </w:r>
      <w:r w:rsidR="0023078A">
        <w:rPr>
          <w:lang w:val="nl-NL"/>
        </w:rPr>
        <w:t>,</w:t>
      </w:r>
      <w:r>
        <w:rPr>
          <w:lang w:val="nl-NL"/>
        </w:rPr>
        <w:t xml:space="preserve"> kan de arbeidsovereenkomst in gemeenschappelijk akkoord beëindigd worden en kan er met de nieuwe werkgever een arbeidsovereenkomst opgemaakt worden. Gaat dit personeelslid niet akkoord dan kan de overheid een einde maken aan de arbeidsrelatie met toepassing van de algemene principes </w:t>
      </w:r>
      <w:r w:rsidR="000E144F">
        <w:rPr>
          <w:lang w:val="nl-NL"/>
        </w:rPr>
        <w:t xml:space="preserve">over de eenzijdige beëindiging van een arbeidsovereenkomst (bijv. beëindiging na presteren </w:t>
      </w:r>
      <w:r>
        <w:rPr>
          <w:lang w:val="nl-NL"/>
        </w:rPr>
        <w:t>van opzegtermijn en/of verbrekingsvergoeding</w:t>
      </w:r>
      <w:r w:rsidR="000E144F">
        <w:rPr>
          <w:lang w:val="nl-NL"/>
        </w:rPr>
        <w:t>)</w:t>
      </w:r>
      <w:r>
        <w:rPr>
          <w:lang w:val="nl-NL"/>
        </w:rPr>
        <w:t>.</w:t>
      </w:r>
    </w:p>
    <w:p w14:paraId="5DACFCBC" w14:textId="4038F133" w:rsidR="00F41BA9" w:rsidRDefault="00F41BA9" w:rsidP="00125C76">
      <w:pPr>
        <w:rPr>
          <w:lang w:val="nl-NL"/>
        </w:rPr>
      </w:pPr>
    </w:p>
    <w:p w14:paraId="60648E61" w14:textId="6590DEAD" w:rsidR="00F22990" w:rsidRDefault="00F41BA9" w:rsidP="00E830FC">
      <w:pPr>
        <w:rPr>
          <w:lang w:val="nl-NL"/>
        </w:rPr>
      </w:pPr>
      <w:r>
        <w:rPr>
          <w:lang w:val="nl-NL"/>
        </w:rPr>
        <w:t xml:space="preserve">Voor een </w:t>
      </w:r>
      <w:r w:rsidRPr="00F22990">
        <w:rPr>
          <w:u w:val="single"/>
          <w:lang w:val="nl-NL"/>
        </w:rPr>
        <w:t>statutair</w:t>
      </w:r>
      <w:r>
        <w:rPr>
          <w:lang w:val="nl-NL"/>
        </w:rPr>
        <w:t xml:space="preserve"> personeelslid is het uitgangspunt dat hij ingezet wordt volgens de behoeften van de dienst. Dat gebeurt eenzijdig en is inherent aan statutaire tewerkstelling. Dat houdt in zekere mate ook in dat het bestuur eenzijdig wijzi</w:t>
      </w:r>
      <w:r w:rsidR="0023078A">
        <w:rPr>
          <w:lang w:val="nl-NL"/>
        </w:rPr>
        <w:t>gi</w:t>
      </w:r>
      <w:r>
        <w:rPr>
          <w:lang w:val="nl-NL"/>
        </w:rPr>
        <w:t>ngen aan het takenpakket en de arbeidsomstandigheden kan aanbrengen</w:t>
      </w:r>
      <w:r w:rsidR="00125C76">
        <w:rPr>
          <w:lang w:val="nl-NL"/>
        </w:rPr>
        <w:t xml:space="preserve">, zeker als </w:t>
      </w:r>
      <w:r w:rsidR="000E144F">
        <w:rPr>
          <w:lang w:val="nl-NL"/>
        </w:rPr>
        <w:t xml:space="preserve">de overdracht </w:t>
      </w:r>
      <w:r w:rsidR="00125C76">
        <w:rPr>
          <w:lang w:val="nl-NL"/>
        </w:rPr>
        <w:t>decretaal gefaciliteerd wordt</w:t>
      </w:r>
      <w:r w:rsidR="000E144F">
        <w:rPr>
          <w:lang w:val="nl-NL"/>
        </w:rPr>
        <w:t>.</w:t>
      </w:r>
      <w:r w:rsidR="000E144F">
        <w:rPr>
          <w:rStyle w:val="Voetnootmarkering"/>
          <w:lang w:val="nl-NL"/>
        </w:rPr>
        <w:footnoteReference w:id="11"/>
      </w:r>
      <w:r w:rsidR="00125C76">
        <w:rPr>
          <w:lang w:val="nl-NL"/>
        </w:rPr>
        <w:t xml:space="preserve">  </w:t>
      </w:r>
    </w:p>
    <w:p w14:paraId="1BFA4B94" w14:textId="3165CD88" w:rsidR="0023078A" w:rsidRDefault="00FA3D54" w:rsidP="00E830FC">
      <w:pPr>
        <w:rPr>
          <w:lang w:val="nl-NL"/>
        </w:rPr>
      </w:pPr>
      <w:r>
        <w:rPr>
          <w:lang w:val="nl-NL"/>
        </w:rPr>
        <w:t>Als er geen decretale basis is, we</w:t>
      </w:r>
      <w:r w:rsidR="003E4C9E">
        <w:rPr>
          <w:lang w:val="nl-NL"/>
        </w:rPr>
        <w:t>et de VVSG</w:t>
      </w:r>
      <w:r>
        <w:rPr>
          <w:lang w:val="nl-NL"/>
        </w:rPr>
        <w:t xml:space="preserve"> niet zeker of een statutair personeelslid </w:t>
      </w:r>
      <w:r w:rsidR="00125C76">
        <w:rPr>
          <w:lang w:val="nl-NL"/>
        </w:rPr>
        <w:t xml:space="preserve">zonder zijn akkoord kan overgedragen worden: </w:t>
      </w:r>
      <w:r w:rsidR="003E4C9E">
        <w:rPr>
          <w:lang w:val="nl-NL"/>
        </w:rPr>
        <w:t>de VVSG</w:t>
      </w:r>
      <w:r w:rsidR="00125C76">
        <w:rPr>
          <w:lang w:val="nl-NL"/>
        </w:rPr>
        <w:t xml:space="preserve"> beschik</w:t>
      </w:r>
      <w:r w:rsidR="003E4C9E">
        <w:rPr>
          <w:lang w:val="nl-NL"/>
        </w:rPr>
        <w:t>t</w:t>
      </w:r>
      <w:r w:rsidR="00125C76">
        <w:rPr>
          <w:lang w:val="nl-NL"/>
        </w:rPr>
        <w:t xml:space="preserve"> over te weinig rechtspraak om hierover uitspraken te doen.</w:t>
      </w:r>
      <w:r w:rsidR="0023078A">
        <w:rPr>
          <w:lang w:val="nl-NL"/>
        </w:rPr>
        <w:t xml:space="preserve"> De overdracht zal in elk geval moeten gebeuren met respect voor de algemene beginselen van behoorlijk bestuur</w:t>
      </w:r>
      <w:r w:rsidR="00834ABE">
        <w:rPr>
          <w:lang w:val="nl-NL"/>
        </w:rPr>
        <w:t xml:space="preserve">, </w:t>
      </w:r>
      <w:r w:rsidR="0023078A">
        <w:rPr>
          <w:lang w:val="nl-NL"/>
        </w:rPr>
        <w:t xml:space="preserve">waaronder de </w:t>
      </w:r>
      <w:r w:rsidR="00834ABE">
        <w:rPr>
          <w:lang w:val="nl-NL"/>
        </w:rPr>
        <w:t xml:space="preserve">formele </w:t>
      </w:r>
      <w:r w:rsidR="0023078A">
        <w:rPr>
          <w:lang w:val="nl-NL"/>
        </w:rPr>
        <w:t>motiveringsplicht</w:t>
      </w:r>
      <w:r w:rsidR="00834ABE">
        <w:rPr>
          <w:rStyle w:val="Voetnootmarkering"/>
          <w:lang w:val="nl-NL"/>
        </w:rPr>
        <w:footnoteReference w:id="12"/>
      </w:r>
      <w:r w:rsidR="00834ABE">
        <w:rPr>
          <w:lang w:val="nl-NL"/>
        </w:rPr>
        <w:t xml:space="preserve"> omwille van de soms grote feitelijke gevolgen voor de wijze waarop het ambt uitgeoefend (bijv. langere verplaatsingstijd van en naar het werk)</w:t>
      </w:r>
      <w:r w:rsidR="0023078A">
        <w:rPr>
          <w:lang w:val="nl-NL"/>
        </w:rPr>
        <w:t>.</w:t>
      </w:r>
    </w:p>
    <w:p w14:paraId="5DACFCBD" w14:textId="1E6E0F43" w:rsidR="00F41BA9" w:rsidRDefault="0023078A" w:rsidP="00E830FC">
      <w:pPr>
        <w:rPr>
          <w:lang w:val="nl-NL"/>
        </w:rPr>
      </w:pPr>
      <w:r>
        <w:rPr>
          <w:lang w:val="nl-NL"/>
        </w:rPr>
        <w:t>Vanuit HRM-overwegingen ra</w:t>
      </w:r>
      <w:r w:rsidR="003E4C9E">
        <w:rPr>
          <w:lang w:val="nl-NL"/>
        </w:rPr>
        <w:t>a</w:t>
      </w:r>
      <w:r>
        <w:rPr>
          <w:lang w:val="nl-NL"/>
        </w:rPr>
        <w:t>d</w:t>
      </w:r>
      <w:r w:rsidR="003E4C9E">
        <w:rPr>
          <w:lang w:val="nl-NL"/>
        </w:rPr>
        <w:t>t de VVSG</w:t>
      </w:r>
      <w:r>
        <w:rPr>
          <w:lang w:val="nl-NL"/>
        </w:rPr>
        <w:t xml:space="preserve"> we sowieso aan om zo veel mogelijk in onderling overleg te regelen. Anders is de medewerker niet gemotiveerd om in het nieuwe bestuur</w:t>
      </w:r>
      <w:r w:rsidR="0003407C">
        <w:rPr>
          <w:lang w:val="nl-NL"/>
        </w:rPr>
        <w:t xml:space="preserve"> aan de slag te gaan.</w:t>
      </w:r>
    </w:p>
    <w:p w14:paraId="5E292C05" w14:textId="2EF477E9" w:rsidR="000E144F" w:rsidRDefault="00F22990" w:rsidP="00F22990">
      <w:pPr>
        <w:pStyle w:val="Duidelijkcitaat"/>
        <w:rPr>
          <w:lang w:val="nl-NL"/>
        </w:rPr>
      </w:pPr>
      <w:r>
        <w:rPr>
          <w:lang w:val="nl-NL"/>
        </w:rPr>
        <w:lastRenderedPageBreak/>
        <w:t>Moet er een sollicitatieprocedure gebeuren?</w:t>
      </w:r>
    </w:p>
    <w:p w14:paraId="35899BE9" w14:textId="1F7F4273" w:rsidR="00F22990" w:rsidRDefault="00F22990" w:rsidP="00E830FC">
      <w:pPr>
        <w:rPr>
          <w:lang w:val="nl-NL"/>
        </w:rPr>
      </w:pPr>
      <w:r>
        <w:rPr>
          <w:lang w:val="nl-NL"/>
        </w:rPr>
        <w:t>Bij overdracht van personeel</w:t>
      </w:r>
      <w:r w:rsidR="00125C76">
        <w:rPr>
          <w:lang w:val="nl-NL"/>
        </w:rPr>
        <w:t xml:space="preserve"> </w:t>
      </w:r>
      <w:r w:rsidR="000E144F" w:rsidRPr="00B10EDC">
        <w:rPr>
          <w:u w:val="single"/>
          <w:lang w:val="nl-NL"/>
        </w:rPr>
        <w:t>tussen gemeente en OCMW</w:t>
      </w:r>
      <w:r w:rsidR="000E144F">
        <w:rPr>
          <w:lang w:val="nl-NL"/>
        </w:rPr>
        <w:t xml:space="preserve"> </w:t>
      </w:r>
      <w:r>
        <w:rPr>
          <w:lang w:val="nl-NL"/>
        </w:rPr>
        <w:t xml:space="preserve">is </w:t>
      </w:r>
      <w:r w:rsidR="00125C76">
        <w:rPr>
          <w:lang w:val="nl-NL"/>
        </w:rPr>
        <w:t xml:space="preserve">geen sollicitatieprocedure meer nodig alvorens het (met toepassing van </w:t>
      </w:r>
      <w:bookmarkStart w:id="17" w:name="_Hlk533157755"/>
      <w:r w:rsidR="00125C76">
        <w:rPr>
          <w:lang w:val="nl-NL"/>
        </w:rPr>
        <w:t>art</w:t>
      </w:r>
      <w:r w:rsidR="00FF733F">
        <w:rPr>
          <w:lang w:val="nl-NL"/>
        </w:rPr>
        <w:t>ikel</w:t>
      </w:r>
      <w:r w:rsidR="00125C76">
        <w:rPr>
          <w:lang w:val="nl-NL"/>
        </w:rPr>
        <w:t xml:space="preserve"> </w:t>
      </w:r>
      <w:r w:rsidR="00B35EE1">
        <w:rPr>
          <w:lang w:val="nl-NL"/>
        </w:rPr>
        <w:t>185 §3 en artikel 197 Decreet Lokaal Bestuur</w:t>
      </w:r>
      <w:bookmarkEnd w:id="17"/>
      <w:r w:rsidR="00125C76">
        <w:rPr>
          <w:lang w:val="nl-NL"/>
        </w:rPr>
        <w:t xml:space="preserve">) overgedragen </w:t>
      </w:r>
      <w:r>
        <w:rPr>
          <w:lang w:val="nl-NL"/>
        </w:rPr>
        <w:t xml:space="preserve">statutair of contractueel </w:t>
      </w:r>
      <w:r w:rsidR="00125C76">
        <w:rPr>
          <w:lang w:val="nl-NL"/>
        </w:rPr>
        <w:t>personeelslid in het OCMW, resp. de gemeente aan de slag kan gaan.</w:t>
      </w:r>
      <w:r w:rsidR="004701D7">
        <w:rPr>
          <w:lang w:val="nl-NL"/>
        </w:rPr>
        <w:t xml:space="preserve"> Hetzelfde geldt voor andere situaties waarin overdracht juridisch geregeld is</w:t>
      </w:r>
      <w:r w:rsidR="00834ABE">
        <w:rPr>
          <w:lang w:val="nl-NL"/>
        </w:rPr>
        <w:t xml:space="preserve"> (bv. art</w:t>
      </w:r>
      <w:r w:rsidR="00EC22C2">
        <w:rPr>
          <w:lang w:val="nl-NL"/>
        </w:rPr>
        <w:t>ikel</w:t>
      </w:r>
      <w:r w:rsidR="00834ABE">
        <w:rPr>
          <w:lang w:val="nl-NL"/>
        </w:rPr>
        <w:t xml:space="preserve"> 2</w:t>
      </w:r>
      <w:r w:rsidR="00EC22C2">
        <w:rPr>
          <w:lang w:val="nl-NL"/>
        </w:rPr>
        <w:t>30 Decreet Lokaal Bestuur</w:t>
      </w:r>
      <w:r w:rsidR="00834ABE">
        <w:rPr>
          <w:lang w:val="nl-NL"/>
        </w:rPr>
        <w:t>).</w:t>
      </w:r>
    </w:p>
    <w:p w14:paraId="21EA327C" w14:textId="77777777" w:rsidR="004D180F" w:rsidRDefault="004D180F" w:rsidP="00E830FC">
      <w:pPr>
        <w:rPr>
          <w:lang w:val="nl-NL"/>
        </w:rPr>
      </w:pPr>
    </w:p>
    <w:p w14:paraId="5DACFCC6" w14:textId="66FED7BA" w:rsidR="00E830FC" w:rsidRPr="00E830FC" w:rsidRDefault="00E830FC" w:rsidP="00CE727E">
      <w:pPr>
        <w:pStyle w:val="Kop2"/>
        <w:rPr>
          <w:lang w:val="nl-NL"/>
        </w:rPr>
      </w:pPr>
      <w:bookmarkStart w:id="18" w:name="_Toc316372300"/>
      <w:bookmarkStart w:id="19" w:name="_Toc473900254"/>
      <w:bookmarkStart w:id="20" w:name="_Toc223624610"/>
      <w:r w:rsidRPr="00E830FC">
        <w:rPr>
          <w:lang w:val="nl-NL"/>
        </w:rPr>
        <w:t xml:space="preserve">Overdracht van een volledige dienst of afdeling naar </w:t>
      </w:r>
      <w:r w:rsidR="000E144F">
        <w:rPr>
          <w:lang w:val="nl-NL"/>
        </w:rPr>
        <w:t>een ander lokaal bestuur</w:t>
      </w:r>
      <w:bookmarkEnd w:id="18"/>
      <w:bookmarkEnd w:id="19"/>
      <w:bookmarkEnd w:id="20"/>
    </w:p>
    <w:p w14:paraId="5DACFCC7" w14:textId="468284BF" w:rsidR="00E830FC" w:rsidRDefault="00E830FC" w:rsidP="00E830FC">
      <w:pPr>
        <w:rPr>
          <w:lang w:val="nl-NL"/>
        </w:rPr>
      </w:pPr>
      <w:r w:rsidRPr="00E830FC">
        <w:rPr>
          <w:lang w:val="nl-NL"/>
        </w:rPr>
        <w:t>Als</w:t>
      </w:r>
      <w:r w:rsidR="00FC330E">
        <w:rPr>
          <w:lang w:val="nl-NL"/>
        </w:rPr>
        <w:t xml:space="preserve"> de overdracht van contractueel personeel kadert in een </w:t>
      </w:r>
      <w:r w:rsidRPr="00E830FC">
        <w:rPr>
          <w:lang w:val="nl-NL"/>
        </w:rPr>
        <w:t xml:space="preserve">reorganisatie/herstructurering, </w:t>
      </w:r>
      <w:r w:rsidR="00FC330E">
        <w:rPr>
          <w:lang w:val="nl-NL"/>
        </w:rPr>
        <w:t xml:space="preserve">kan het bestuur soms gebruik maken van de soepele werkwijze die vastgelegd werd in </w:t>
      </w:r>
      <w:r w:rsidRPr="00E830FC">
        <w:rPr>
          <w:lang w:val="nl-NL"/>
        </w:rPr>
        <w:t xml:space="preserve">de Europese Richtlijn </w:t>
      </w:r>
      <w:r w:rsidR="003F4D5C">
        <w:rPr>
          <w:lang w:val="nl-NL"/>
        </w:rPr>
        <w:t>2001/23/EG</w:t>
      </w:r>
      <w:r w:rsidRPr="00E830FC">
        <w:rPr>
          <w:lang w:val="nl-NL"/>
        </w:rPr>
        <w:t>.</w:t>
      </w:r>
      <w:r w:rsidR="00CE727E">
        <w:rPr>
          <w:rStyle w:val="Voetnootmarkering"/>
          <w:lang w:val="nl-NL"/>
        </w:rPr>
        <w:footnoteReference w:id="13"/>
      </w:r>
    </w:p>
    <w:p w14:paraId="228D39AD" w14:textId="64B3AFB2" w:rsidR="00C363BD" w:rsidRPr="00E830FC" w:rsidRDefault="00C363BD" w:rsidP="00E830FC">
      <w:pPr>
        <w:rPr>
          <w:lang w:val="nl-NL"/>
        </w:rPr>
      </w:pPr>
      <w:r>
        <w:rPr>
          <w:lang w:val="nl-NL"/>
        </w:rPr>
        <w:t>Daarnaast kan het bestuur ook gebruik maken van het eerder vermelde artikel 185/1 Decreet Lokaal Bestuur</w:t>
      </w:r>
      <w:r w:rsidR="00382797">
        <w:rPr>
          <w:lang w:val="nl-NL"/>
        </w:rPr>
        <w:t>, dat ook kan toegepast worden bij collectieve overdracht van diensten (zie hoger, 6.1).</w:t>
      </w:r>
    </w:p>
    <w:p w14:paraId="5DACFCC8" w14:textId="77777777" w:rsidR="00E830FC" w:rsidRPr="00E830FC" w:rsidRDefault="00E830FC" w:rsidP="00CE727E">
      <w:pPr>
        <w:pStyle w:val="Kop3"/>
        <w:rPr>
          <w:lang w:val="nl-NL"/>
        </w:rPr>
      </w:pPr>
      <w:bookmarkStart w:id="21" w:name="_Toc473900255"/>
      <w:bookmarkStart w:id="22" w:name="_Toc223624611"/>
      <w:r w:rsidRPr="00E830FC">
        <w:rPr>
          <w:lang w:val="nl-NL"/>
        </w:rPr>
        <w:t>Is de Richtlijn van toepassing?</w:t>
      </w:r>
      <w:bookmarkEnd w:id="21"/>
      <w:bookmarkEnd w:id="22"/>
    </w:p>
    <w:p w14:paraId="5DACFCC9" w14:textId="77777777" w:rsidR="00E830FC" w:rsidRDefault="00E830FC" w:rsidP="00E830FC">
      <w:pPr>
        <w:rPr>
          <w:lang w:val="nl-NL"/>
        </w:rPr>
      </w:pPr>
      <w:r w:rsidRPr="00E830FC">
        <w:rPr>
          <w:lang w:val="nl-NL"/>
        </w:rPr>
        <w:t>De Richtlijn is van toepassing bij overgang van onderneming krachtens overeenkomst. Het toepassingsgebied wordt erg breed geïnterpreteerd door het Europese Hof van Justitie.</w:t>
      </w:r>
    </w:p>
    <w:p w14:paraId="5DACFCCA" w14:textId="77777777" w:rsidR="00CE727E" w:rsidRPr="00E830FC" w:rsidRDefault="00CE727E" w:rsidP="00E830FC">
      <w:pPr>
        <w:rPr>
          <w:lang w:val="nl-NL"/>
        </w:rPr>
      </w:pPr>
    </w:p>
    <w:p w14:paraId="5DACFCCB" w14:textId="77777777" w:rsidR="00E830FC" w:rsidRDefault="00E830FC" w:rsidP="00E830FC">
      <w:pPr>
        <w:rPr>
          <w:lang w:val="nl-NL"/>
        </w:rPr>
      </w:pPr>
      <w:r w:rsidRPr="00E830FC">
        <w:rPr>
          <w:u w:val="single"/>
          <w:lang w:val="nl-NL"/>
        </w:rPr>
        <w:t>Overgang</w:t>
      </w:r>
      <w:r w:rsidRPr="00E830FC">
        <w:rPr>
          <w:lang w:val="nl-NL"/>
        </w:rPr>
        <w:t>: de overgang, met het oog op de voortzetting van een al dan niet hoofdzakelijk economische activiteit, van een economische eenheid die haar identiteit behoudt waaronder een geheel van georganiseerde middelen wordt verstaan.</w:t>
      </w:r>
    </w:p>
    <w:p w14:paraId="5DACFCCC" w14:textId="77777777" w:rsidR="00CE727E" w:rsidRPr="00E830FC" w:rsidRDefault="00CE727E" w:rsidP="00E830FC">
      <w:pPr>
        <w:rPr>
          <w:lang w:val="nl-NL"/>
        </w:rPr>
      </w:pPr>
    </w:p>
    <w:p w14:paraId="5DACFCCD" w14:textId="6BFCD537" w:rsidR="00E830FC" w:rsidRDefault="00E830FC" w:rsidP="00E830FC">
      <w:pPr>
        <w:rPr>
          <w:lang w:val="nl-NL"/>
        </w:rPr>
      </w:pPr>
      <w:r w:rsidRPr="00E830FC">
        <w:rPr>
          <w:u w:val="single"/>
          <w:lang w:val="nl-NL"/>
        </w:rPr>
        <w:t>Van onderneming</w:t>
      </w:r>
      <w:r w:rsidRPr="00E830FC">
        <w:rPr>
          <w:lang w:val="nl-NL"/>
        </w:rPr>
        <w:t>: de Richtlijn is van toepassing op openbare en particuliere ondernemingen die een economische activiteit uitoefenen, al dan niet met winstoogmerk.</w:t>
      </w:r>
      <w:r w:rsidR="003140EB">
        <w:rPr>
          <w:lang w:val="nl-NL"/>
        </w:rPr>
        <w:t xml:space="preserve"> Dienstencheque-ondernemingen, woonzorgcentra, thuiszorgdiensten, </w:t>
      </w:r>
      <w:r w:rsidR="004D180F">
        <w:rPr>
          <w:lang w:val="nl-NL"/>
        </w:rPr>
        <w:t xml:space="preserve">diensten </w:t>
      </w:r>
      <w:r w:rsidR="003140EB">
        <w:rPr>
          <w:lang w:val="nl-NL"/>
        </w:rPr>
        <w:t>kinderopvang</w:t>
      </w:r>
      <w:r w:rsidR="004D180F">
        <w:rPr>
          <w:lang w:val="nl-NL"/>
        </w:rPr>
        <w:t xml:space="preserve"> en </w:t>
      </w:r>
      <w:r w:rsidR="003140EB">
        <w:rPr>
          <w:lang w:val="nl-NL"/>
        </w:rPr>
        <w:t>patrimoniumbeheer zijn diensten die als een economische activiteit kunnen beschouwd worden: deze diensten zouden ook door particuliere organisaties kunnen geleverd worden.</w:t>
      </w:r>
    </w:p>
    <w:p w14:paraId="0C5BE40C" w14:textId="05CDFA1B" w:rsidR="004D180F" w:rsidRPr="004D180F" w:rsidRDefault="004D180F" w:rsidP="004D180F">
      <w:r w:rsidRPr="004D180F">
        <w:t xml:space="preserve">Bij </w:t>
      </w:r>
      <w:r>
        <w:t xml:space="preserve">de </w:t>
      </w:r>
      <w:r w:rsidRPr="004D180F">
        <w:t xml:space="preserve">overdracht </w:t>
      </w:r>
      <w:r>
        <w:t xml:space="preserve">van ondersteunende diensten is de </w:t>
      </w:r>
      <w:r w:rsidR="007A2A83">
        <w:t>R</w:t>
      </w:r>
      <w:r>
        <w:t>ichtlijn</w:t>
      </w:r>
      <w:r w:rsidRPr="004D180F">
        <w:t xml:space="preserve"> wellicht </w:t>
      </w:r>
      <w:r>
        <w:t xml:space="preserve">niet van </w:t>
      </w:r>
      <w:r w:rsidRPr="004D180F">
        <w:t>toepassing.</w:t>
      </w:r>
      <w:r w:rsidR="00D72EB0" w:rsidRPr="00D72EB0">
        <w:rPr>
          <w:rFonts w:ascii="Tahoma" w:hAnsi="Tahoma" w:cs="Tahoma"/>
          <w:color w:val="444444"/>
          <w:sz w:val="19"/>
          <w:szCs w:val="19"/>
          <w:lang w:val="nl-NL"/>
        </w:rPr>
        <w:t xml:space="preserve"> </w:t>
      </w:r>
      <w:r w:rsidR="00D72EB0">
        <w:rPr>
          <w:lang w:val="nl-NL"/>
        </w:rPr>
        <w:t xml:space="preserve">Zo bepaalt de </w:t>
      </w:r>
      <w:r w:rsidR="007A2A83">
        <w:rPr>
          <w:lang w:val="nl-NL"/>
        </w:rPr>
        <w:t>R</w:t>
      </w:r>
      <w:r w:rsidR="00D72EB0">
        <w:rPr>
          <w:lang w:val="nl-NL"/>
        </w:rPr>
        <w:t>ichtlijn dat e</w:t>
      </w:r>
      <w:r w:rsidR="00D72EB0" w:rsidRPr="00D72EB0">
        <w:rPr>
          <w:lang w:val="nl-NL"/>
        </w:rPr>
        <w:t>en administratieve reorganisatie van overheidsdiensten of de overgang van administratieve funct</w:t>
      </w:r>
      <w:r w:rsidR="00D72EB0">
        <w:rPr>
          <w:lang w:val="nl-NL"/>
        </w:rPr>
        <w:t xml:space="preserve">ies tussen overheidsdiensten </w:t>
      </w:r>
      <w:r w:rsidR="00D72EB0" w:rsidRPr="00D72EB0">
        <w:rPr>
          <w:lang w:val="nl-NL"/>
        </w:rPr>
        <w:t>geen overgang</w:t>
      </w:r>
      <w:r w:rsidR="00D72EB0">
        <w:rPr>
          <w:lang w:val="nl-NL"/>
        </w:rPr>
        <w:t xml:space="preserve"> is</w:t>
      </w:r>
      <w:r w:rsidR="00D72EB0" w:rsidRPr="00D72EB0">
        <w:rPr>
          <w:lang w:val="nl-NL"/>
        </w:rPr>
        <w:t xml:space="preserve"> in de zin van deze </w:t>
      </w:r>
      <w:r w:rsidR="007A2A83">
        <w:rPr>
          <w:lang w:val="nl-NL"/>
        </w:rPr>
        <w:t>R</w:t>
      </w:r>
      <w:r w:rsidR="00D72EB0" w:rsidRPr="00D72EB0">
        <w:rPr>
          <w:lang w:val="nl-NL"/>
        </w:rPr>
        <w:t>ichtlijn.</w:t>
      </w:r>
    </w:p>
    <w:p w14:paraId="5DACFCCE" w14:textId="77777777" w:rsidR="00CE727E" w:rsidRDefault="00CE727E" w:rsidP="00E830FC">
      <w:pPr>
        <w:rPr>
          <w:lang w:val="nl-NL"/>
        </w:rPr>
      </w:pPr>
    </w:p>
    <w:p w14:paraId="5DACFCCF" w14:textId="1FE04AE3" w:rsidR="00E830FC" w:rsidRDefault="00834ABE" w:rsidP="00E830FC">
      <w:pPr>
        <w:rPr>
          <w:lang w:val="nl-NL"/>
        </w:rPr>
      </w:pPr>
      <w:r>
        <w:rPr>
          <w:lang w:val="nl-NL"/>
        </w:rPr>
        <w:t xml:space="preserve">Volgens sommigen </w:t>
      </w:r>
      <w:r w:rsidR="00CE727E">
        <w:rPr>
          <w:lang w:val="nl-NL"/>
        </w:rPr>
        <w:t xml:space="preserve">is de Europese </w:t>
      </w:r>
      <w:r w:rsidR="00E830FC" w:rsidRPr="00E830FC">
        <w:rPr>
          <w:lang w:val="nl-NL"/>
        </w:rPr>
        <w:t>R</w:t>
      </w:r>
      <w:r w:rsidR="00CE727E">
        <w:rPr>
          <w:lang w:val="nl-NL"/>
        </w:rPr>
        <w:t>i</w:t>
      </w:r>
      <w:r w:rsidR="00E830FC" w:rsidRPr="00E830FC">
        <w:rPr>
          <w:lang w:val="nl-NL"/>
        </w:rPr>
        <w:t xml:space="preserve">chtlijn ook van toepassing op statutairen, maar anderen betwisten dit. Men kan argumenteren dat een analoge toepassing op statutaire medewerkers niet verboden is. </w:t>
      </w:r>
    </w:p>
    <w:p w14:paraId="5DACFCD0" w14:textId="77777777" w:rsidR="00CE727E" w:rsidRPr="00E830FC" w:rsidRDefault="00CE727E" w:rsidP="00E830FC">
      <w:pPr>
        <w:rPr>
          <w:lang w:val="nl-NL"/>
        </w:rPr>
      </w:pPr>
    </w:p>
    <w:p w14:paraId="5DACFCD1" w14:textId="6BC1E33D" w:rsidR="00E830FC" w:rsidRDefault="00E830FC" w:rsidP="00E830FC">
      <w:pPr>
        <w:rPr>
          <w:lang w:val="nl-NL"/>
        </w:rPr>
      </w:pPr>
      <w:r w:rsidRPr="00E830FC">
        <w:rPr>
          <w:lang w:val="nl-NL"/>
        </w:rPr>
        <w:t>De Richtlijn zelf is niet volledig omgezet in nationaal recht: de CAO 32</w:t>
      </w:r>
      <w:r w:rsidRPr="002F1673">
        <w:rPr>
          <w:i/>
          <w:lang w:val="nl-NL"/>
        </w:rPr>
        <w:t>bis</w:t>
      </w:r>
      <w:r w:rsidRPr="00E830FC">
        <w:rPr>
          <w:lang w:val="nl-NL"/>
        </w:rPr>
        <w:t xml:space="preserve"> dekt niet alle situaties waarin de Richtlijn voorziet. Toch kan de Richtlijn ingeroepen worden door particulieren (in dit geval personeelsleden) tegenover de lidstaat, inclusief de gedecentraliseerde overheden van die lidstaat, zoals</w:t>
      </w:r>
      <w:r w:rsidR="003F4D5C">
        <w:rPr>
          <w:lang w:val="nl-NL"/>
        </w:rPr>
        <w:t xml:space="preserve"> gemeenten en OCMW’s. Het lokaal bestuur </w:t>
      </w:r>
      <w:r w:rsidRPr="00E830FC">
        <w:rPr>
          <w:lang w:val="nl-NL"/>
        </w:rPr>
        <w:t>kan zich dus niet beroepen op de niet-omzetting van deze Richtlijn in nationaal recht door de federale overheid.</w:t>
      </w:r>
    </w:p>
    <w:p w14:paraId="5DACFCD2" w14:textId="77777777" w:rsidR="00CE727E" w:rsidRPr="00E830FC" w:rsidRDefault="00CE727E" w:rsidP="00E830FC">
      <w:pPr>
        <w:rPr>
          <w:lang w:val="nl-NL"/>
        </w:rPr>
      </w:pPr>
    </w:p>
    <w:p w14:paraId="5DACFCD3" w14:textId="77777777" w:rsidR="00E830FC" w:rsidRPr="00E830FC" w:rsidRDefault="00E830FC" w:rsidP="00E830FC">
      <w:pPr>
        <w:rPr>
          <w:lang w:val="nl-NL"/>
        </w:rPr>
      </w:pPr>
      <w:r w:rsidRPr="00E830FC">
        <w:rPr>
          <w:lang w:val="nl-NL"/>
        </w:rPr>
        <w:t xml:space="preserve">Maar wellicht kan de gemeente </w:t>
      </w:r>
      <w:r w:rsidR="003F4D5C">
        <w:rPr>
          <w:lang w:val="nl-NL"/>
        </w:rPr>
        <w:t xml:space="preserve">of het OCMW </w:t>
      </w:r>
      <w:r w:rsidRPr="00E830FC">
        <w:rPr>
          <w:lang w:val="nl-NL"/>
        </w:rPr>
        <w:t>zelf geen rechten ontlenen uit de Richtlijn, zolang ze niet is omgezet.</w:t>
      </w:r>
    </w:p>
    <w:p w14:paraId="5DACFCD4" w14:textId="77777777" w:rsidR="00CE727E" w:rsidRDefault="00CE727E" w:rsidP="00E830FC">
      <w:pPr>
        <w:rPr>
          <w:lang w:val="nl-NL"/>
        </w:rPr>
      </w:pPr>
    </w:p>
    <w:p w14:paraId="5DACFCD5" w14:textId="539199A9" w:rsidR="00E830FC" w:rsidRPr="00E830FC" w:rsidRDefault="003140EB" w:rsidP="00E830FC">
      <w:pPr>
        <w:rPr>
          <w:lang w:val="nl-NL"/>
        </w:rPr>
      </w:pPr>
      <w:r>
        <w:rPr>
          <w:lang w:val="nl-NL"/>
        </w:rPr>
        <w:t xml:space="preserve">Conclusie: een lokaal bestuur moet de </w:t>
      </w:r>
      <w:r w:rsidR="00E830FC" w:rsidRPr="00E830FC">
        <w:rPr>
          <w:lang w:val="nl-NL"/>
        </w:rPr>
        <w:t xml:space="preserve">Richtlijn </w:t>
      </w:r>
      <w:r>
        <w:rPr>
          <w:lang w:val="nl-NL"/>
        </w:rPr>
        <w:t xml:space="preserve">respecteren als een dienst wordt overgedragen die als een economische activiteit kan beschouwd worden. </w:t>
      </w:r>
    </w:p>
    <w:p w14:paraId="5DACFCD6" w14:textId="77777777" w:rsidR="00E830FC" w:rsidRPr="00E830FC" w:rsidRDefault="00E830FC" w:rsidP="00CE727E">
      <w:pPr>
        <w:pStyle w:val="Kop3"/>
        <w:rPr>
          <w:lang w:val="nl-NL"/>
        </w:rPr>
      </w:pPr>
      <w:bookmarkStart w:id="23" w:name="_Toc473900256"/>
      <w:bookmarkStart w:id="24" w:name="_Toc223624612"/>
      <w:r w:rsidRPr="00E830FC">
        <w:rPr>
          <w:lang w:val="nl-NL"/>
        </w:rPr>
        <w:t>Gevolgen</w:t>
      </w:r>
      <w:bookmarkEnd w:id="23"/>
      <w:bookmarkEnd w:id="24"/>
    </w:p>
    <w:p w14:paraId="5DACFCD7" w14:textId="77777777" w:rsidR="00CE727E" w:rsidRPr="004B7F4F" w:rsidRDefault="00CE727E" w:rsidP="00CE727E">
      <w:r w:rsidRPr="004B7F4F">
        <w:t xml:space="preserve">Als de Europese Richtlijn </w:t>
      </w:r>
      <w:r w:rsidR="003F4D5C">
        <w:rPr>
          <w:lang w:val="nl-NL"/>
        </w:rPr>
        <w:t xml:space="preserve">2001/23/EG </w:t>
      </w:r>
      <w:r w:rsidRPr="004B7F4F">
        <w:rPr>
          <w:i/>
        </w:rPr>
        <w:t>niet</w:t>
      </w:r>
      <w:r w:rsidRPr="004B7F4F">
        <w:t xml:space="preserve"> van toepassing is:</w:t>
      </w:r>
    </w:p>
    <w:p w14:paraId="4A560B15" w14:textId="453BC969" w:rsidR="00A62025" w:rsidRDefault="00A62025" w:rsidP="00CE727E">
      <w:pPr>
        <w:pStyle w:val="Opsomming"/>
        <w:tabs>
          <w:tab w:val="clear" w:pos="284"/>
        </w:tabs>
        <w:spacing w:after="280" w:line="280" w:lineRule="atLeast"/>
        <w:ind w:left="426" w:hanging="426"/>
      </w:pPr>
      <w:r>
        <w:t xml:space="preserve">moet er een andere rechtsgrond zijn (bv. </w:t>
      </w:r>
      <w:r w:rsidR="001F7FCD">
        <w:rPr>
          <w:lang w:val="nl-NL"/>
        </w:rPr>
        <w:t>artikel 185 §3 en artikel 197 Decreet Lokaal Bestuur</w:t>
      </w:r>
      <w:r>
        <w:t>)</w:t>
      </w:r>
      <w:r w:rsidR="00B5458B">
        <w:t>,</w:t>
      </w:r>
    </w:p>
    <w:p w14:paraId="5DACFCD8" w14:textId="3F33E743" w:rsidR="00CE727E" w:rsidRDefault="00CE727E" w:rsidP="00CE727E">
      <w:pPr>
        <w:pStyle w:val="Opsomming"/>
        <w:tabs>
          <w:tab w:val="clear" w:pos="284"/>
        </w:tabs>
        <w:spacing w:after="280" w:line="280" w:lineRule="atLeast"/>
        <w:ind w:left="426" w:hanging="426"/>
      </w:pPr>
      <w:r w:rsidRPr="004B7F4F">
        <w:t>moeten contractuele werknemers instemmen met de overdracht</w:t>
      </w:r>
      <w:r w:rsidR="00B5458B">
        <w:t>,</w:t>
      </w:r>
    </w:p>
    <w:p w14:paraId="5F72FD8A" w14:textId="0520323C" w:rsidR="00D72EB0" w:rsidRPr="004B7F4F" w:rsidRDefault="00D72EB0" w:rsidP="00CE727E">
      <w:pPr>
        <w:pStyle w:val="Opsomming"/>
        <w:tabs>
          <w:tab w:val="clear" w:pos="284"/>
        </w:tabs>
        <w:spacing w:after="280" w:line="280" w:lineRule="atLeast"/>
        <w:ind w:left="426" w:hanging="426"/>
      </w:pPr>
      <w:r w:rsidRPr="00D72EB0">
        <w:t xml:space="preserve">moet een einde gesteld worden aan de arbeidsovereenkomst </w:t>
      </w:r>
      <w:r>
        <w:t>met</w:t>
      </w:r>
      <w:r w:rsidRPr="00D72EB0">
        <w:t xml:space="preserve"> de overdrager en een nieuwe arbeidsovereenkomst afgesloten worden </w:t>
      </w:r>
      <w:r>
        <w:t>met</w:t>
      </w:r>
      <w:r w:rsidRPr="00D72EB0">
        <w:t xml:space="preserve"> de overnemer</w:t>
      </w:r>
      <w:r w:rsidR="00B5458B">
        <w:t>,</w:t>
      </w:r>
    </w:p>
    <w:p w14:paraId="5DACFCD9" w14:textId="2FEB5CBC" w:rsidR="00CE727E" w:rsidRPr="004B7F4F" w:rsidRDefault="00A62025" w:rsidP="00CE727E">
      <w:pPr>
        <w:pStyle w:val="Opsomming"/>
        <w:tabs>
          <w:tab w:val="clear" w:pos="284"/>
        </w:tabs>
        <w:spacing w:after="280" w:line="280" w:lineRule="atLeast"/>
        <w:ind w:left="426" w:hanging="426"/>
      </w:pPr>
      <w:r>
        <w:t xml:space="preserve">kunnen </w:t>
      </w:r>
      <w:r w:rsidR="00CE727E">
        <w:t>d</w:t>
      </w:r>
      <w:r w:rsidR="00CE727E" w:rsidRPr="004B7F4F">
        <w:t xml:space="preserve">e loon- en arbeidsvoorwaarden anders zijn bij </w:t>
      </w:r>
      <w:r w:rsidR="003140EB">
        <w:t xml:space="preserve">de ‘nieuwe’ werkgever dan bij </w:t>
      </w:r>
      <w:r w:rsidR="009F2DD6">
        <w:t xml:space="preserve">het </w:t>
      </w:r>
      <w:r w:rsidR="003140EB">
        <w:t>‘oude’ bestuur</w:t>
      </w:r>
      <w:r w:rsidR="00CE727E" w:rsidRPr="004B7F4F">
        <w:t>.</w:t>
      </w:r>
    </w:p>
    <w:p w14:paraId="5DACFCDA" w14:textId="77777777" w:rsidR="00CE727E" w:rsidRPr="004B7F4F" w:rsidRDefault="00CE727E" w:rsidP="00CE727E">
      <w:r w:rsidRPr="004B7F4F">
        <w:t xml:space="preserve">Als de Europese Richtlijn </w:t>
      </w:r>
      <w:r w:rsidR="003F4D5C">
        <w:rPr>
          <w:lang w:val="nl-NL"/>
        </w:rPr>
        <w:t xml:space="preserve">2001/23/EG </w:t>
      </w:r>
      <w:r w:rsidRPr="004B7F4F">
        <w:rPr>
          <w:i/>
        </w:rPr>
        <w:t>wel</w:t>
      </w:r>
      <w:r w:rsidRPr="004B7F4F">
        <w:t xml:space="preserve"> van toepassing is:</w:t>
      </w:r>
    </w:p>
    <w:p w14:paraId="3CC176FF" w14:textId="4B74CE1F" w:rsidR="00BA340F" w:rsidRPr="00BA340F" w:rsidRDefault="00CE727E" w:rsidP="00BA340F">
      <w:pPr>
        <w:pStyle w:val="Opsomming"/>
        <w:spacing w:after="280" w:line="280" w:lineRule="atLeast"/>
        <w:ind w:left="426" w:hanging="426"/>
      </w:pPr>
      <w:r>
        <w:t>i</w:t>
      </w:r>
      <w:r w:rsidRPr="004B7F4F">
        <w:t>s er een automatische overdracht van de arbeidsovereenkomsten</w:t>
      </w:r>
      <w:r w:rsidR="00D72EB0">
        <w:t xml:space="preserve"> (er moet geen nieuwe arbeidsovereenkomst afgesloten worden)</w:t>
      </w:r>
      <w:r w:rsidRPr="004B7F4F">
        <w:t xml:space="preserve">. De loon- en arbeidsvoorwaarden worden gedurende </w:t>
      </w:r>
      <w:r w:rsidR="00B10EDC" w:rsidRPr="004B7F4F">
        <w:t xml:space="preserve">minstens </w:t>
      </w:r>
      <w:r w:rsidRPr="004B7F4F">
        <w:t>één jaar gegarandeerd</w:t>
      </w:r>
      <w:r w:rsidR="001C506B">
        <w:t xml:space="preserve">, of beter gezegd: </w:t>
      </w:r>
      <w:r w:rsidR="001C506B" w:rsidRPr="001C506B">
        <w:t xml:space="preserve">de overname </w:t>
      </w:r>
      <w:r w:rsidR="00F5637A">
        <w:t>door een nieuwe werkgever mag</w:t>
      </w:r>
      <w:r w:rsidR="001C506B" w:rsidRPr="001C506B">
        <w:t xml:space="preserve"> geen aanleiding</w:t>
      </w:r>
      <w:r w:rsidR="00F5637A">
        <w:t xml:space="preserve"> </w:t>
      </w:r>
      <w:r w:rsidR="001C506B" w:rsidRPr="001C506B">
        <w:t>zijn om hun rechten in te korten</w:t>
      </w:r>
      <w:r w:rsidR="00B5458B">
        <w:t>.</w:t>
      </w:r>
      <w:r w:rsidR="00BA340F">
        <w:t xml:space="preserve"> </w:t>
      </w:r>
      <w:r w:rsidR="00F5637A">
        <w:t xml:space="preserve">Het is </w:t>
      </w:r>
      <w:r w:rsidR="00BA340F" w:rsidRPr="00BA340F">
        <w:t>echter geen bevriezing van rechten</w:t>
      </w:r>
      <w:r w:rsidR="00F5637A">
        <w:t>: e</w:t>
      </w:r>
      <w:r w:rsidR="00BA340F" w:rsidRPr="00BA340F">
        <w:t>r wordt enkel bepaald dat de overnemer en de medewerker ten aanzien van elkaar dezelfde  rechten en plichten hebben als ten aanzien van de overlater.</w:t>
      </w:r>
    </w:p>
    <w:p w14:paraId="5DACFCDC" w14:textId="7C17D820" w:rsidR="00CE727E" w:rsidRPr="004B7F4F" w:rsidRDefault="00D72EB0" w:rsidP="00CE727E">
      <w:pPr>
        <w:pStyle w:val="Opsomming"/>
        <w:tabs>
          <w:tab w:val="clear" w:pos="284"/>
        </w:tabs>
        <w:spacing w:after="280" w:line="280" w:lineRule="atLeast"/>
        <w:ind w:left="426" w:hanging="426"/>
      </w:pPr>
      <w:r w:rsidRPr="00D72EB0">
        <w:t xml:space="preserve">moet </w:t>
      </w:r>
      <w:r w:rsidR="00CE727E">
        <w:t>h</w:t>
      </w:r>
      <w:r w:rsidR="00CE727E" w:rsidRPr="004B7F4F">
        <w:t>et contractueel aangesteld personeelslid geen toestemming geven</w:t>
      </w:r>
      <w:r w:rsidR="00B5458B">
        <w:t>,</w:t>
      </w:r>
    </w:p>
    <w:p w14:paraId="5DACFCDD" w14:textId="47F876B0" w:rsidR="00CE727E" w:rsidRPr="004B7F4F" w:rsidRDefault="00D72EB0" w:rsidP="00CE727E">
      <w:pPr>
        <w:pStyle w:val="Opsomming"/>
        <w:tabs>
          <w:tab w:val="clear" w:pos="284"/>
        </w:tabs>
        <w:spacing w:after="280" w:line="280" w:lineRule="atLeast"/>
        <w:ind w:left="426" w:hanging="426"/>
      </w:pPr>
      <w:r w:rsidRPr="00D72EB0">
        <w:t xml:space="preserve">zijn </w:t>
      </w:r>
      <w:r w:rsidR="00B10EDC">
        <w:t>het</w:t>
      </w:r>
      <w:r w:rsidR="00CE727E" w:rsidRPr="004B7F4F">
        <w:t xml:space="preserve"> </w:t>
      </w:r>
      <w:r w:rsidR="00B10EDC">
        <w:t>overdragende bestuur en het overnemende bestuur</w:t>
      </w:r>
      <w:r w:rsidR="00CE727E" w:rsidRPr="004B7F4F">
        <w:t xml:space="preserve"> </w:t>
      </w:r>
      <w:r w:rsidR="00CE727E" w:rsidRPr="00B10EDC">
        <w:rPr>
          <w:i/>
        </w:rPr>
        <w:t>in solidum</w:t>
      </w:r>
      <w:r w:rsidR="00CE727E" w:rsidRPr="004B7F4F">
        <w:t xml:space="preserve"> gehouden voor de schulden die bestaan op het tijdstip van de overgang</w:t>
      </w:r>
      <w:r w:rsidR="00B5458B">
        <w:t>,</w:t>
      </w:r>
    </w:p>
    <w:p w14:paraId="5DACFCDE" w14:textId="46C816D1" w:rsidR="00CE727E" w:rsidRPr="004B7F4F" w:rsidRDefault="00D72EB0" w:rsidP="00CE727E">
      <w:pPr>
        <w:pStyle w:val="Opsomming"/>
        <w:tabs>
          <w:tab w:val="clear" w:pos="284"/>
        </w:tabs>
        <w:spacing w:after="280" w:line="280" w:lineRule="atLeast"/>
        <w:ind w:left="426" w:hanging="426"/>
      </w:pPr>
      <w:r w:rsidRPr="00D72EB0">
        <w:t xml:space="preserve">mag </w:t>
      </w:r>
      <w:r w:rsidR="00CE727E">
        <w:t>h</w:t>
      </w:r>
      <w:r w:rsidR="00CE727E" w:rsidRPr="004B7F4F">
        <w:t>et contractueel aangesteld personeelslid niet ontslagen worden om reden van de overgang (wel om een andere reden</w:t>
      </w:r>
      <w:r w:rsidRPr="004B7F4F">
        <w:t>)</w:t>
      </w:r>
      <w:r w:rsidR="00B5458B">
        <w:t>,</w:t>
      </w:r>
    </w:p>
    <w:p w14:paraId="5DACFCDF" w14:textId="167B72B0" w:rsidR="00CE727E" w:rsidRPr="004B7F4F" w:rsidRDefault="00D72EB0" w:rsidP="00CE727E">
      <w:pPr>
        <w:pStyle w:val="Opsomming"/>
        <w:tabs>
          <w:tab w:val="clear" w:pos="284"/>
        </w:tabs>
        <w:spacing w:after="280" w:line="280" w:lineRule="atLeast"/>
        <w:ind w:left="426" w:hanging="426"/>
      </w:pPr>
      <w:r w:rsidRPr="00D72EB0">
        <w:t xml:space="preserve">kan </w:t>
      </w:r>
      <w:r>
        <w:t>de weigering van</w:t>
      </w:r>
      <w:r w:rsidRPr="004B7F4F">
        <w:t xml:space="preserve"> </w:t>
      </w:r>
      <w:r w:rsidR="00CE727E" w:rsidRPr="004B7F4F">
        <w:t xml:space="preserve">het contractueel aangesteld personeelslid om naar </w:t>
      </w:r>
      <w:r w:rsidR="00B10EDC">
        <w:t>de nieuwe werkgever</w:t>
      </w:r>
      <w:r w:rsidR="00CE727E" w:rsidRPr="004B7F4F">
        <w:t xml:space="preserve"> over te gaan, als contractbreuk worden beschouwd</w:t>
      </w:r>
      <w:r>
        <w:t>,</w:t>
      </w:r>
      <w:r w:rsidR="00CE727E" w:rsidRPr="004B7F4F">
        <w:t xml:space="preserve"> waardoor de arbeidsovereenkomst ten laste van het personeelslid wordt beëindigd</w:t>
      </w:r>
      <w:r w:rsidR="008623CB">
        <w:t xml:space="preserve"> (impliciet ontslag)</w:t>
      </w:r>
      <w:r w:rsidR="00CE727E" w:rsidRPr="004B7F4F">
        <w:t>.</w:t>
      </w:r>
      <w:r w:rsidR="006E44DB">
        <w:rPr>
          <w:rStyle w:val="Voetnootmarkering"/>
        </w:rPr>
        <w:footnoteReference w:id="14"/>
      </w:r>
    </w:p>
    <w:p w14:paraId="5DACFCE0" w14:textId="74AAFFE6" w:rsidR="00CE727E" w:rsidRDefault="00E830FC" w:rsidP="00E830FC">
      <w:pPr>
        <w:rPr>
          <w:lang w:val="nl-NL"/>
        </w:rPr>
      </w:pPr>
      <w:r w:rsidRPr="00E830FC">
        <w:rPr>
          <w:lang w:val="nl-NL"/>
        </w:rPr>
        <w:lastRenderedPageBreak/>
        <w:t>In de beheers- of samenwerking</w:t>
      </w:r>
      <w:r w:rsidR="00B10EDC">
        <w:rPr>
          <w:lang w:val="nl-NL"/>
        </w:rPr>
        <w:t>s</w:t>
      </w:r>
      <w:r w:rsidRPr="00E830FC">
        <w:rPr>
          <w:lang w:val="nl-NL"/>
        </w:rPr>
        <w:t xml:space="preserve">overeenkomst wordt soms het behoud van rechten van het overgedragen personeelslid gegarandeerd. In bepaalde gevallen wordt dat zelfs bij wet (of Europese Richtlijn, zie hoger) opgelegd. </w:t>
      </w:r>
    </w:p>
    <w:p w14:paraId="5DACFCE1" w14:textId="77777777" w:rsidR="00CE727E" w:rsidRDefault="00CE727E" w:rsidP="00E830FC">
      <w:pPr>
        <w:rPr>
          <w:lang w:val="nl-NL"/>
        </w:rPr>
      </w:pPr>
    </w:p>
    <w:p w14:paraId="5DACFCE2" w14:textId="352DAC1D" w:rsidR="00E830FC" w:rsidRPr="00E830FC" w:rsidRDefault="008D028F" w:rsidP="00E830FC">
      <w:pPr>
        <w:rPr>
          <w:lang w:val="nl-NL"/>
        </w:rPr>
      </w:pPr>
      <w:r>
        <w:rPr>
          <w:lang w:val="nl-NL"/>
        </w:rPr>
        <w:t>De VVSG wil</w:t>
      </w:r>
      <w:r w:rsidR="00E830FC" w:rsidRPr="00E830FC">
        <w:rPr>
          <w:lang w:val="nl-NL"/>
        </w:rPr>
        <w:t xml:space="preserve"> echter waarschuwen voor afspraken in de beheersovereenkomst waarin het behoud van rechten van het overgedragen personeel voor lange tijd bedongen wordt. Te weinig bewegingsruimte maakt het voor het personeelsbeleid van </w:t>
      </w:r>
      <w:r w:rsidR="00B10EDC">
        <w:rPr>
          <w:lang w:val="nl-NL"/>
        </w:rPr>
        <w:t xml:space="preserve">het overnemende bestuur </w:t>
      </w:r>
      <w:r w:rsidR="00E830FC" w:rsidRPr="00E830FC">
        <w:rPr>
          <w:lang w:val="nl-NL"/>
        </w:rPr>
        <w:t xml:space="preserve">erg moeilijk. In de praktijk geeft ‘het behoud van rechten’ bovendien vaak aanleiding tot grote ongelijkheden (!), omdat het overgedragen personeel zich in een bevoorrechte positie bevindt door een cumulatie van de voordelen van de </w:t>
      </w:r>
      <w:r w:rsidR="00B10EDC">
        <w:rPr>
          <w:lang w:val="nl-NL"/>
        </w:rPr>
        <w:t xml:space="preserve">originele werkgever </w:t>
      </w:r>
      <w:r w:rsidR="00E830FC" w:rsidRPr="00E830FC">
        <w:rPr>
          <w:lang w:val="nl-NL"/>
        </w:rPr>
        <w:t>met de voordelen van </w:t>
      </w:r>
      <w:r w:rsidR="00B10EDC">
        <w:rPr>
          <w:lang w:val="nl-NL"/>
        </w:rPr>
        <w:t>de nieuwe werkgever</w:t>
      </w:r>
      <w:r w:rsidR="00E830FC" w:rsidRPr="00E830FC">
        <w:rPr>
          <w:lang w:val="nl-NL"/>
        </w:rPr>
        <w:t>.</w:t>
      </w:r>
    </w:p>
    <w:p w14:paraId="5DACFCE3" w14:textId="77777777" w:rsidR="00E830FC" w:rsidRPr="00E830FC" w:rsidRDefault="00E830FC" w:rsidP="00CE727E">
      <w:pPr>
        <w:pStyle w:val="Kop3"/>
        <w:rPr>
          <w:lang w:val="nl-NL"/>
        </w:rPr>
      </w:pPr>
      <w:bookmarkStart w:id="25" w:name="_Toc473900257"/>
      <w:bookmarkStart w:id="26" w:name="_Toc223624613"/>
      <w:r w:rsidRPr="00E830FC">
        <w:rPr>
          <w:lang w:val="nl-NL"/>
        </w:rPr>
        <w:t>Sociaal overleg over de beslissing tot collectieve overdracht van personeel</w:t>
      </w:r>
      <w:bookmarkEnd w:id="25"/>
      <w:bookmarkEnd w:id="26"/>
    </w:p>
    <w:p w14:paraId="5DACFCE4" w14:textId="7E29347C" w:rsidR="00E830FC" w:rsidRDefault="00E830FC" w:rsidP="00E830FC">
      <w:pPr>
        <w:rPr>
          <w:lang w:val="nl-NL"/>
        </w:rPr>
      </w:pPr>
      <w:r w:rsidRPr="00E830FC">
        <w:rPr>
          <w:lang w:val="nl-NL"/>
        </w:rPr>
        <w:t>“Beslissingen tot herstructurering van de diensten, hetgeen de vorm kan aannemen van een oprichting, een samenvoeging, een opsplitsing of zelfs een opheffing van diensten horen (...) thuis onder de noemer van de functionele bedrijvigheid</w:t>
      </w:r>
      <w:r w:rsidR="00CE727E">
        <w:rPr>
          <w:rStyle w:val="Voetnootmarkering"/>
          <w:lang w:val="nl-NL"/>
        </w:rPr>
        <w:footnoteReference w:id="15"/>
      </w:r>
      <w:r w:rsidRPr="00E830FC">
        <w:rPr>
          <w:lang w:val="nl-NL"/>
        </w:rPr>
        <w:t xml:space="preserve">, zodat zich in dit verband geen onderhandeling en evenmin overleg opdringt, zelfs niet wanneer die herstructurering gepaard gaat met ontslagen (Zie </w:t>
      </w:r>
      <w:r w:rsidRPr="00992A47">
        <w:rPr>
          <w:i/>
          <w:iCs/>
          <w:lang w:val="nl-NL"/>
        </w:rPr>
        <w:t>Parl.St</w:t>
      </w:r>
      <w:r w:rsidRPr="00E830FC">
        <w:rPr>
          <w:lang w:val="nl-NL"/>
        </w:rPr>
        <w:t xml:space="preserve"> Kamer 1970-71, nr. 889/1, 10 (memorie van to</w:t>
      </w:r>
      <w:r w:rsidR="00E71E8F">
        <w:rPr>
          <w:lang w:val="nl-NL"/>
        </w:rPr>
        <w:t>elichting) – zie bijvoorbeeld RvS</w:t>
      </w:r>
      <w:r w:rsidR="000A0C6B">
        <w:rPr>
          <w:lang w:val="nl-NL"/>
        </w:rPr>
        <w:t xml:space="preserve"> 12 juli 2007, nr. </w:t>
      </w:r>
      <w:r w:rsidR="00992A47">
        <w:rPr>
          <w:lang w:val="nl-NL"/>
        </w:rPr>
        <w:t>173.492, CSC-Services Publics</w:t>
      </w:r>
      <w:r w:rsidRPr="00E830FC">
        <w:rPr>
          <w:lang w:val="nl-NL"/>
        </w:rPr>
        <w:t>). (...)</w:t>
      </w:r>
    </w:p>
    <w:p w14:paraId="5DACFCE5" w14:textId="77777777" w:rsidR="00CE727E" w:rsidRPr="00E830FC" w:rsidRDefault="00CE727E" w:rsidP="00E830FC">
      <w:pPr>
        <w:rPr>
          <w:lang w:val="nl-NL"/>
        </w:rPr>
      </w:pPr>
    </w:p>
    <w:p w14:paraId="5DACFCE6" w14:textId="465EFA74" w:rsidR="00E830FC" w:rsidRPr="00E830FC" w:rsidRDefault="0020402A" w:rsidP="00E830FC">
      <w:pPr>
        <w:rPr>
          <w:lang w:val="nl-NL"/>
        </w:rPr>
      </w:pPr>
      <w:r>
        <w:rPr>
          <w:lang w:val="nl-NL"/>
        </w:rPr>
        <w:t xml:space="preserve">Er moet een onderscheid gemaakt worden </w:t>
      </w:r>
      <w:r w:rsidR="00E830FC" w:rsidRPr="00E830FC">
        <w:rPr>
          <w:lang w:val="nl-NL"/>
        </w:rPr>
        <w:t xml:space="preserve">tussen de beoordeling van de opportuniteit van een reorganisatie van de diensten, die volledig aan de overheid toekomt, en het uitwerken van de </w:t>
      </w:r>
      <w:r w:rsidR="00CB5516">
        <w:rPr>
          <w:lang w:val="nl-NL"/>
        </w:rPr>
        <w:t xml:space="preserve">nadere regels </w:t>
      </w:r>
      <w:r w:rsidR="00E830FC" w:rsidRPr="00E830FC">
        <w:rPr>
          <w:lang w:val="nl-NL"/>
        </w:rPr>
        <w:t xml:space="preserve">die met een dergelijke herschikking gepaard gaan. </w:t>
      </w:r>
      <w:r w:rsidR="00CB5516">
        <w:rPr>
          <w:lang w:val="nl-NL"/>
        </w:rPr>
        <w:t xml:space="preserve">Voor zover die regels echter </w:t>
      </w:r>
      <w:r w:rsidR="00E830FC" w:rsidRPr="00E830FC">
        <w:rPr>
          <w:lang w:val="nl-NL"/>
        </w:rPr>
        <w:t xml:space="preserve">een weerslag hebben op het personele vlak, </w:t>
      </w:r>
      <w:r w:rsidR="00CB5516">
        <w:rPr>
          <w:lang w:val="nl-NL"/>
        </w:rPr>
        <w:t xml:space="preserve">is het verdedigbaar </w:t>
      </w:r>
      <w:r w:rsidR="00E830FC" w:rsidRPr="00E830FC">
        <w:rPr>
          <w:lang w:val="nl-NL"/>
        </w:rPr>
        <w:t xml:space="preserve">dat de vakbonden bij de </w:t>
      </w:r>
      <w:r w:rsidR="00723701">
        <w:rPr>
          <w:lang w:val="nl-NL"/>
        </w:rPr>
        <w:t>concretisering daarvan worden</w:t>
      </w:r>
      <w:r w:rsidR="00E830FC" w:rsidRPr="00E830FC">
        <w:rPr>
          <w:lang w:val="nl-NL"/>
        </w:rPr>
        <w:t xml:space="preserve"> betrokken.</w:t>
      </w:r>
      <w:r w:rsidR="00723701">
        <w:rPr>
          <w:lang w:val="nl-NL"/>
        </w:rPr>
        <w:t xml:space="preserve"> Wanneer een reorganisatie gepaard gaat met een wijziging van de loon- en arbeidsvoorwaarden, dient er wel degelijk te worden onderhandeld. Neemt de overheid geen enkele maatr</w:t>
      </w:r>
      <w:r w:rsidR="00743FAE">
        <w:rPr>
          <w:lang w:val="nl-NL"/>
        </w:rPr>
        <w:t>e</w:t>
      </w:r>
      <w:r w:rsidR="00723701">
        <w:rPr>
          <w:lang w:val="nl-NL"/>
        </w:rPr>
        <w:t>gel met betrekking tot het personeel, dan moet er noch onderhandeld, noch overlegd worden.</w:t>
      </w:r>
      <w:r w:rsidR="00E830FC" w:rsidRPr="00E830FC">
        <w:rPr>
          <w:lang w:val="nl-NL"/>
        </w:rPr>
        <w:t>”</w:t>
      </w:r>
      <w:r w:rsidR="00CE727E">
        <w:rPr>
          <w:rStyle w:val="Voetnootmarkering"/>
          <w:lang w:val="nl-NL"/>
        </w:rPr>
        <w:footnoteReference w:id="16"/>
      </w:r>
    </w:p>
    <w:p w14:paraId="5DACFCE7" w14:textId="77777777" w:rsidR="00CE727E" w:rsidRDefault="00CE727E" w:rsidP="00CE727E">
      <w:pPr>
        <w:rPr>
          <w:lang w:val="nl-NL"/>
        </w:rPr>
      </w:pPr>
    </w:p>
    <w:p w14:paraId="358FBF5B" w14:textId="4CA7D7D8" w:rsidR="00EB6CD8" w:rsidRDefault="00E830FC" w:rsidP="00CE727E">
      <w:pPr>
        <w:rPr>
          <w:lang w:val="nl-NL"/>
        </w:rPr>
      </w:pPr>
      <w:r w:rsidRPr="00E830FC">
        <w:rPr>
          <w:lang w:val="nl-NL"/>
        </w:rPr>
        <w:t xml:space="preserve">Conclusie: </w:t>
      </w:r>
      <w:r w:rsidR="00D72EB0">
        <w:rPr>
          <w:lang w:val="nl-NL"/>
        </w:rPr>
        <w:t>de beslissing om een dienst over te dragen, moet niet het voorwerp uitmaken van sociaal overleg. O</w:t>
      </w:r>
      <w:r w:rsidR="00D72EB0" w:rsidRPr="00E830FC">
        <w:rPr>
          <w:lang w:val="nl-NL"/>
        </w:rPr>
        <w:t xml:space="preserve">ver </w:t>
      </w:r>
      <w:r w:rsidRPr="00E830FC">
        <w:rPr>
          <w:lang w:val="nl-NL"/>
        </w:rPr>
        <w:t xml:space="preserve">de modaliteiten die met zo’n overgang gepaard gaan, moet </w:t>
      </w:r>
      <w:r w:rsidR="00B10EDC">
        <w:rPr>
          <w:lang w:val="nl-NL"/>
        </w:rPr>
        <w:t xml:space="preserve">met de vakorganisaties </w:t>
      </w:r>
      <w:r w:rsidR="00D72EB0">
        <w:rPr>
          <w:lang w:val="nl-NL"/>
        </w:rPr>
        <w:t xml:space="preserve">wel </w:t>
      </w:r>
      <w:r w:rsidRPr="00E830FC">
        <w:rPr>
          <w:lang w:val="nl-NL"/>
        </w:rPr>
        <w:t xml:space="preserve">onderhandeld worden in het </w:t>
      </w:r>
      <w:r w:rsidR="00B10EDC">
        <w:rPr>
          <w:lang w:val="nl-NL"/>
        </w:rPr>
        <w:t>B</w:t>
      </w:r>
      <w:r w:rsidRPr="00E830FC">
        <w:rPr>
          <w:lang w:val="nl-NL"/>
        </w:rPr>
        <w:t xml:space="preserve">ijzonder </w:t>
      </w:r>
      <w:r w:rsidR="00B10EDC">
        <w:rPr>
          <w:lang w:val="nl-NL"/>
        </w:rPr>
        <w:t xml:space="preserve">Comité (dus in het </w:t>
      </w:r>
      <w:r w:rsidRPr="00E830FC">
        <w:rPr>
          <w:lang w:val="nl-NL"/>
        </w:rPr>
        <w:t>onderhandelingscomité</w:t>
      </w:r>
      <w:r w:rsidR="00D72EB0">
        <w:rPr>
          <w:lang w:val="nl-NL"/>
        </w:rPr>
        <w:t>)</w:t>
      </w:r>
      <w:r w:rsidR="00B5458B">
        <w:rPr>
          <w:lang w:val="nl-NL"/>
        </w:rPr>
        <w:t>. Z</w:t>
      </w:r>
      <w:r w:rsidR="00D72EB0">
        <w:rPr>
          <w:lang w:val="nl-NL"/>
        </w:rPr>
        <w:t xml:space="preserve">o zijn de eventuele wijzigingen aan loon- en arbeidsvoorwaarden onderhandelingsmaterie. </w:t>
      </w:r>
    </w:p>
    <w:p w14:paraId="7C3CDE03" w14:textId="1F8C943E" w:rsidR="00D72EB0" w:rsidRDefault="00D72EB0" w:rsidP="00CE727E">
      <w:pPr>
        <w:rPr>
          <w:lang w:val="nl-NL"/>
        </w:rPr>
      </w:pPr>
      <w:r>
        <w:rPr>
          <w:lang w:val="nl-NL"/>
        </w:rPr>
        <w:lastRenderedPageBreak/>
        <w:t>Los daarvan is het aan te raden om de betrokken medewerkers en de vakorganisaties van begin af aan goed te informeren.</w:t>
      </w:r>
    </w:p>
    <w:p w14:paraId="3761DD30" w14:textId="43F3E8EA" w:rsidR="00EB6CD8" w:rsidRDefault="00EB6CD8" w:rsidP="00EB6CD8">
      <w:pPr>
        <w:pStyle w:val="Kop1"/>
        <w:rPr>
          <w:lang w:val="nl-NL"/>
        </w:rPr>
      </w:pPr>
      <w:bookmarkStart w:id="27" w:name="_Toc223624614"/>
      <w:r>
        <w:rPr>
          <w:lang w:val="nl-NL"/>
        </w:rPr>
        <w:t>Samen personeel aanwerven – hoe begin</w:t>
      </w:r>
      <w:r w:rsidR="006A5FE7">
        <w:rPr>
          <w:lang w:val="nl-NL"/>
        </w:rPr>
        <w:t>t u</w:t>
      </w:r>
      <w:r>
        <w:rPr>
          <w:lang w:val="nl-NL"/>
        </w:rPr>
        <w:t xml:space="preserve"> eraan?</w:t>
      </w:r>
      <w:bookmarkEnd w:id="27"/>
    </w:p>
    <w:p w14:paraId="299D5979" w14:textId="787A76D3" w:rsidR="00EB6CD8" w:rsidRDefault="00EB6CD8" w:rsidP="00EB6CD8">
      <w:pPr>
        <w:rPr>
          <w:lang w:val="nl-NL"/>
        </w:rPr>
      </w:pPr>
      <w:r>
        <w:rPr>
          <w:lang w:val="nl-NL"/>
        </w:rPr>
        <w:t xml:space="preserve">Samen personeel aanwerven is makkelijker dan </w:t>
      </w:r>
      <w:r w:rsidR="00946B10">
        <w:rPr>
          <w:lang w:val="nl-NL"/>
        </w:rPr>
        <w:t>vaak gedacht:</w:t>
      </w:r>
    </w:p>
    <w:p w14:paraId="438BFC42" w14:textId="1786C868" w:rsidR="00EB6CD8" w:rsidRPr="00EB6CD8" w:rsidRDefault="00EB6CD8" w:rsidP="00EB6CD8">
      <w:pPr>
        <w:pStyle w:val="Opsomming"/>
        <w:tabs>
          <w:tab w:val="clear" w:pos="284"/>
        </w:tabs>
        <w:spacing w:after="280" w:line="280" w:lineRule="atLeast"/>
        <w:ind w:left="426" w:hanging="426"/>
        <w:rPr>
          <w:bCs/>
          <w:lang w:val="nl-NL"/>
        </w:rPr>
      </w:pPr>
      <w:r w:rsidRPr="00EB6CD8">
        <w:rPr>
          <w:lang w:val="nl-NL"/>
        </w:rPr>
        <w:t>Een samenwerkingsovereenkomst tussen beide lokale besturen is niet nodig maar kan wel,</w:t>
      </w:r>
      <w:r>
        <w:rPr>
          <w:rStyle w:val="Voetnootmarkering"/>
          <w:lang w:val="nl-NL"/>
        </w:rPr>
        <w:footnoteReference w:id="17"/>
      </w:r>
      <w:r w:rsidRPr="00EB6CD8">
        <w:rPr>
          <w:lang w:val="nl-NL"/>
        </w:rPr>
        <w:t xml:space="preserve"> bijv. als beide besturen ook</w:t>
      </w:r>
      <w:r>
        <w:rPr>
          <w:lang w:val="nl-NL"/>
        </w:rPr>
        <w:t xml:space="preserve"> op andere vlakken samenwerken.</w:t>
      </w:r>
    </w:p>
    <w:p w14:paraId="05DEC518" w14:textId="77777777" w:rsidR="00EB6CD8" w:rsidRPr="00EB6CD8" w:rsidRDefault="00EB6CD8" w:rsidP="00EB6CD8">
      <w:pPr>
        <w:pStyle w:val="Opsomming"/>
        <w:tabs>
          <w:tab w:val="clear" w:pos="284"/>
        </w:tabs>
        <w:spacing w:after="280" w:line="280" w:lineRule="atLeast"/>
        <w:ind w:left="426" w:hanging="426"/>
        <w:rPr>
          <w:bCs/>
          <w:lang w:val="nl-NL"/>
        </w:rPr>
      </w:pPr>
      <w:r w:rsidRPr="00EB6CD8">
        <w:rPr>
          <w:lang w:val="nl-NL"/>
        </w:rPr>
        <w:t xml:space="preserve">De </w:t>
      </w:r>
      <w:r>
        <w:rPr>
          <w:lang w:val="nl-NL"/>
        </w:rPr>
        <w:t>betrokken lokale besturen hoeven d</w:t>
      </w:r>
      <w:r w:rsidRPr="00EB6CD8">
        <w:rPr>
          <w:lang w:val="nl-NL"/>
        </w:rPr>
        <w:t>e mogelijkheid om samen te rekruteren en te selecteren ook niet in te schrijven in de lokale rechtspositieregeling</w:t>
      </w:r>
      <w:r>
        <w:rPr>
          <w:lang w:val="nl-NL"/>
        </w:rPr>
        <w:t>.</w:t>
      </w:r>
    </w:p>
    <w:p w14:paraId="427E5961" w14:textId="2FB62E10" w:rsidR="00EB6CD8" w:rsidRPr="00EB6CD8" w:rsidRDefault="00EB6CD8" w:rsidP="00EB6CD8">
      <w:pPr>
        <w:pStyle w:val="Opsomming"/>
        <w:tabs>
          <w:tab w:val="clear" w:pos="284"/>
        </w:tabs>
        <w:spacing w:after="280" w:line="280" w:lineRule="atLeast"/>
        <w:ind w:left="426" w:hanging="426"/>
        <w:rPr>
          <w:bCs/>
          <w:lang w:val="nl-NL"/>
        </w:rPr>
      </w:pPr>
      <w:r>
        <w:rPr>
          <w:lang w:val="nl-NL"/>
        </w:rPr>
        <w:t xml:space="preserve">Wel moet </w:t>
      </w:r>
      <w:r w:rsidRPr="00EB6CD8">
        <w:rPr>
          <w:lang w:val="nl-NL"/>
        </w:rPr>
        <w:t xml:space="preserve"> er nagekeken worden of de regels vo</w:t>
      </w:r>
      <w:r>
        <w:rPr>
          <w:lang w:val="nl-NL"/>
        </w:rPr>
        <w:t>or de sollicitatieprocedure ni</w:t>
      </w:r>
      <w:r w:rsidRPr="00EB6CD8">
        <w:rPr>
          <w:lang w:val="nl-NL"/>
        </w:rPr>
        <w:t>et tegenstrijdig zijn</w:t>
      </w:r>
      <w:r>
        <w:rPr>
          <w:rStyle w:val="Voetnootmarkering"/>
          <w:lang w:val="nl-NL"/>
        </w:rPr>
        <w:footnoteReference w:id="18"/>
      </w:r>
      <w:r w:rsidR="00946B10">
        <w:rPr>
          <w:lang w:val="nl-NL"/>
        </w:rPr>
        <w:t>. In het algemeen geldt dat hoe minder algemene regels over werving en selectie in de lokale rechtspositieregeling staan, hoe meer ruimte de aanstellende overheden hebben om een concrete sollicitatieprocedure met elkaar af te stemmen en hoe sneller de aanstellende overheden van start kunnen gaan</w:t>
      </w:r>
      <w:r w:rsidRPr="00EB6CD8">
        <w:rPr>
          <w:lang w:val="nl-NL"/>
        </w:rPr>
        <w:t xml:space="preserve">. </w:t>
      </w:r>
    </w:p>
    <w:sectPr w:rsidR="00EB6CD8" w:rsidRPr="00EB6CD8" w:rsidSect="00E71E8F">
      <w:headerReference w:type="default" r:id="rId13"/>
      <w:footerReference w:type="even" r:id="rId14"/>
      <w:footerReference w:type="default" r:id="rId15"/>
      <w:headerReference w:type="first" r:id="rId16"/>
      <w:pgSz w:w="11906" w:h="16838"/>
      <w:pgMar w:top="2694" w:right="1985" w:bottom="1418" w:left="1531" w:header="850"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D796" w14:textId="77777777" w:rsidR="0025229D" w:rsidRDefault="0025229D" w:rsidP="003D1334">
      <w:r>
        <w:separator/>
      </w:r>
    </w:p>
  </w:endnote>
  <w:endnote w:type="continuationSeparator" w:id="0">
    <w:p w14:paraId="4BF926DE" w14:textId="77777777" w:rsidR="0025229D" w:rsidRDefault="0025229D" w:rsidP="003D1334">
      <w:r>
        <w:continuationSeparator/>
      </w:r>
    </w:p>
  </w:endnote>
  <w:endnote w:type="continuationNotice" w:id="1">
    <w:p w14:paraId="4842E394" w14:textId="77777777" w:rsidR="0025229D" w:rsidRDefault="002522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424032"/>
      <w:docPartObj>
        <w:docPartGallery w:val="Page Numbers (Bottom of Page)"/>
        <w:docPartUnique/>
      </w:docPartObj>
    </w:sdtPr>
    <w:sdtEndPr/>
    <w:sdtContent>
      <w:p w14:paraId="5DACFCEE" w14:textId="77777777" w:rsidR="00E05D5C" w:rsidRDefault="00E05D5C">
        <w:pPr>
          <w:pStyle w:val="Voettekst"/>
          <w:jc w:val="right"/>
        </w:pPr>
        <w:r>
          <w:fldChar w:fldCharType="begin"/>
        </w:r>
        <w:r>
          <w:instrText>PAGE   \* MERGEFORMAT</w:instrText>
        </w:r>
        <w:r>
          <w:fldChar w:fldCharType="separate"/>
        </w:r>
        <w:r w:rsidRPr="00E05D5C">
          <w:rPr>
            <w:noProof/>
            <w:lang w:val="nl-NL"/>
          </w:rPr>
          <w:t>4</w:t>
        </w:r>
        <w:r>
          <w:fldChar w:fldCharType="end"/>
        </w:r>
      </w:p>
    </w:sdtContent>
  </w:sdt>
  <w:p w14:paraId="5DACFCEF" w14:textId="77777777" w:rsidR="0089225C" w:rsidRDefault="0089225C" w:rsidP="00821E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FCF0" w14:textId="77777777" w:rsidR="0089225C" w:rsidRDefault="00CE2476" w:rsidP="00821EAE">
    <w:r>
      <w:fldChar w:fldCharType="begin"/>
    </w:r>
    <w:r w:rsidR="00F1122F">
      <w:instrText xml:space="preserve"> PAGE \* Arabic \* MERGEFORMAT </w:instrText>
    </w:r>
    <w:r>
      <w:fldChar w:fldCharType="separate"/>
    </w:r>
    <w:r w:rsidR="00A143CB">
      <w:rPr>
        <w:noProof/>
      </w:rPr>
      <w:t>5</w:t>
    </w:r>
    <w:r>
      <w:rPr>
        <w:noProof/>
      </w:rPr>
      <w:fldChar w:fldCharType="end"/>
    </w:r>
    <w:r w:rsidR="0089225C">
      <w:t>/</w:t>
    </w:r>
    <w:r w:rsidR="00654F98">
      <w:rPr>
        <w:noProof/>
      </w:rPr>
      <w:fldChar w:fldCharType="begin"/>
    </w:r>
    <w:r w:rsidR="00654F98">
      <w:rPr>
        <w:noProof/>
      </w:rPr>
      <w:instrText xml:space="preserve"> NUMPAGES \* Arabic \* MERGEFORMAT </w:instrText>
    </w:r>
    <w:r w:rsidR="00654F98">
      <w:rPr>
        <w:noProof/>
      </w:rPr>
      <w:fldChar w:fldCharType="separate"/>
    </w:r>
    <w:r w:rsidR="00A143CB">
      <w:rPr>
        <w:noProof/>
      </w:rPr>
      <w:t>9</w:t>
    </w:r>
    <w:r w:rsidR="00654F9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F7A4" w14:textId="77777777" w:rsidR="0025229D" w:rsidRDefault="0025229D" w:rsidP="003D1334">
      <w:r>
        <w:separator/>
      </w:r>
    </w:p>
  </w:footnote>
  <w:footnote w:type="continuationSeparator" w:id="0">
    <w:p w14:paraId="40F8404A" w14:textId="77777777" w:rsidR="0025229D" w:rsidRDefault="0025229D" w:rsidP="003D1334">
      <w:r>
        <w:continuationSeparator/>
      </w:r>
    </w:p>
  </w:footnote>
  <w:footnote w:type="continuationNotice" w:id="1">
    <w:p w14:paraId="08E48F0F" w14:textId="77777777" w:rsidR="0025229D" w:rsidRDefault="0025229D">
      <w:pPr>
        <w:spacing w:line="240" w:lineRule="auto"/>
      </w:pPr>
    </w:p>
  </w:footnote>
  <w:footnote w:id="2">
    <w:p w14:paraId="2624FF23" w14:textId="5059098C" w:rsidR="00975239" w:rsidRDefault="00975239">
      <w:pPr>
        <w:pStyle w:val="Voetnoottekst"/>
      </w:pPr>
      <w:r>
        <w:rPr>
          <w:rStyle w:val="Voetnootmarkering"/>
        </w:rPr>
        <w:footnoteRef/>
      </w:r>
      <w:r>
        <w:t xml:space="preserve"> </w:t>
      </w:r>
      <w:r w:rsidRPr="00FA3D54">
        <w:rPr>
          <w:rFonts w:ascii="Arial Narrow" w:hAnsi="Arial Narrow"/>
        </w:rPr>
        <w:t>Dit kan op basis van geformaliseerde afspraken (ev. beheersovereenkomst), maar het kan evengoed zonder.</w:t>
      </w:r>
    </w:p>
  </w:footnote>
  <w:footnote w:id="3">
    <w:p w14:paraId="5DACFCF8" w14:textId="2F160139" w:rsidR="00E05D5C" w:rsidRPr="00FA3D54" w:rsidRDefault="00E05D5C" w:rsidP="00E05D5C">
      <w:pPr>
        <w:pStyle w:val="Voetnoottekst"/>
        <w:rPr>
          <w:rFonts w:ascii="Arial Narrow" w:hAnsi="Arial Narrow"/>
        </w:rPr>
      </w:pPr>
      <w:r>
        <w:rPr>
          <w:rStyle w:val="Voetnootmarkering"/>
        </w:rPr>
        <w:footnoteRef/>
      </w:r>
      <w:r>
        <w:t xml:space="preserve"> </w:t>
      </w:r>
      <w:r w:rsidRPr="00FA3D54">
        <w:rPr>
          <w:rFonts w:ascii="Arial Narrow" w:hAnsi="Arial Narrow"/>
        </w:rPr>
        <w:t>Programmawet 27</w:t>
      </w:r>
      <w:r w:rsidR="004B194B" w:rsidRPr="00FA3D54">
        <w:rPr>
          <w:rFonts w:ascii="Arial Narrow" w:hAnsi="Arial Narrow"/>
        </w:rPr>
        <w:t xml:space="preserve"> december </w:t>
      </w:r>
      <w:r w:rsidRPr="00FA3D54">
        <w:rPr>
          <w:rFonts w:ascii="Arial Narrow" w:hAnsi="Arial Narrow"/>
        </w:rPr>
        <w:t xml:space="preserve">2012, </w:t>
      </w:r>
      <w:r w:rsidRPr="00FA3D54">
        <w:rPr>
          <w:rFonts w:ascii="Arial Narrow" w:hAnsi="Arial Narrow"/>
          <w:i/>
        </w:rPr>
        <w:t>BS</w:t>
      </w:r>
      <w:r w:rsidRPr="00FA3D54">
        <w:rPr>
          <w:rFonts w:ascii="Arial Narrow" w:hAnsi="Arial Narrow"/>
        </w:rPr>
        <w:t xml:space="preserve"> 31</w:t>
      </w:r>
      <w:r w:rsidR="004B194B" w:rsidRPr="00FA3D54">
        <w:rPr>
          <w:rFonts w:ascii="Arial Narrow" w:hAnsi="Arial Narrow"/>
        </w:rPr>
        <w:t xml:space="preserve"> december </w:t>
      </w:r>
      <w:r w:rsidRPr="00FA3D54">
        <w:rPr>
          <w:rFonts w:ascii="Arial Narrow" w:hAnsi="Arial Narrow"/>
        </w:rPr>
        <w:t>2012, art</w:t>
      </w:r>
      <w:r w:rsidR="001F7FCD">
        <w:rPr>
          <w:rFonts w:ascii="Arial Narrow" w:hAnsi="Arial Narrow"/>
        </w:rPr>
        <w:t>.</w:t>
      </w:r>
      <w:r w:rsidRPr="00FA3D54">
        <w:rPr>
          <w:rFonts w:ascii="Arial Narrow" w:hAnsi="Arial Narrow"/>
        </w:rPr>
        <w:t xml:space="preserve"> 21, dat ar</w:t>
      </w:r>
      <w:r w:rsidR="001F7FCD">
        <w:rPr>
          <w:rFonts w:ascii="Arial Narrow" w:hAnsi="Arial Narrow"/>
        </w:rPr>
        <w:t>t.</w:t>
      </w:r>
      <w:r w:rsidRPr="00FA3D54">
        <w:rPr>
          <w:rFonts w:ascii="Arial Narrow" w:hAnsi="Arial Narrow"/>
        </w:rPr>
        <w:t xml:space="preserve"> 31 </w:t>
      </w:r>
      <w:r w:rsidR="004B194B" w:rsidRPr="00FA3D54">
        <w:rPr>
          <w:rFonts w:ascii="Arial Narrow" w:hAnsi="Arial Narrow"/>
        </w:rPr>
        <w:t xml:space="preserve">van de wet van 24 juli </w:t>
      </w:r>
      <w:r w:rsidRPr="00FA3D54">
        <w:rPr>
          <w:rFonts w:ascii="Arial Narrow" w:hAnsi="Arial Narrow"/>
        </w:rPr>
        <w:t>1987 wijzigt: scherpere regels in geval van (onder)aanneming, dus in geval van het uitlenen van een personeelslid aan een gebruiker.</w:t>
      </w:r>
    </w:p>
  </w:footnote>
  <w:footnote w:id="4">
    <w:p w14:paraId="0DE4254E" w14:textId="4448114F" w:rsidR="00FA3D54" w:rsidRDefault="00FA3D54">
      <w:pPr>
        <w:pStyle w:val="Voetnoottekst"/>
      </w:pPr>
      <w:r>
        <w:rPr>
          <w:rStyle w:val="Voetnootmarkering"/>
        </w:rPr>
        <w:footnoteRef/>
      </w:r>
      <w:r>
        <w:t xml:space="preserve"> </w:t>
      </w:r>
      <w:r w:rsidRPr="00FA3D54">
        <w:rPr>
          <w:rFonts w:ascii="Arial Narrow" w:hAnsi="Arial Narrow"/>
        </w:rPr>
        <w:t>KB 28 september 1984</w:t>
      </w:r>
      <w:r>
        <w:rPr>
          <w:rFonts w:ascii="Arial Narrow" w:hAnsi="Arial Narrow"/>
        </w:rPr>
        <w:t xml:space="preserve"> </w:t>
      </w:r>
      <w:r w:rsidRPr="00FA3D54">
        <w:rPr>
          <w:rFonts w:ascii="Arial Narrow" w:hAnsi="Arial Narrow"/>
        </w:rPr>
        <w:t xml:space="preserve">tot uitvoering van de </w:t>
      </w:r>
      <w:r>
        <w:rPr>
          <w:rFonts w:ascii="Arial Narrow" w:hAnsi="Arial Narrow"/>
        </w:rPr>
        <w:t>Wet van</w:t>
      </w:r>
      <w:r w:rsidRPr="00FA3D54">
        <w:rPr>
          <w:rFonts w:ascii="Arial Narrow" w:hAnsi="Arial Narrow"/>
        </w:rPr>
        <w:t xml:space="preserve"> 19</w:t>
      </w:r>
      <w:r>
        <w:rPr>
          <w:rFonts w:ascii="Arial Narrow" w:hAnsi="Arial Narrow"/>
        </w:rPr>
        <w:t xml:space="preserve"> december </w:t>
      </w:r>
      <w:r w:rsidRPr="00FA3D54">
        <w:rPr>
          <w:rFonts w:ascii="Arial Narrow" w:hAnsi="Arial Narrow"/>
        </w:rPr>
        <w:t xml:space="preserve">1974 tot regeling van de betrekkingen tussen de overheid en de vakbonden van haar personeel, </w:t>
      </w:r>
      <w:r w:rsidRPr="00FA3D54">
        <w:rPr>
          <w:rFonts w:ascii="Arial Narrow" w:hAnsi="Arial Narrow"/>
          <w:i/>
        </w:rPr>
        <w:t>BS</w:t>
      </w:r>
      <w:r>
        <w:rPr>
          <w:rFonts w:ascii="Arial Narrow" w:hAnsi="Arial Narrow"/>
        </w:rPr>
        <w:t xml:space="preserve"> 20 oktober 1984, </w:t>
      </w:r>
      <w:r w:rsidRPr="00FA3D54">
        <w:rPr>
          <w:rFonts w:ascii="Arial Narrow" w:hAnsi="Arial Narrow"/>
        </w:rPr>
        <w:t>art</w:t>
      </w:r>
      <w:r w:rsidR="001F7FCD">
        <w:rPr>
          <w:rFonts w:ascii="Arial Narrow" w:hAnsi="Arial Narrow"/>
        </w:rPr>
        <w:t xml:space="preserve">. </w:t>
      </w:r>
      <w:r w:rsidRPr="00FA3D54">
        <w:rPr>
          <w:rFonts w:ascii="Arial Narrow" w:hAnsi="Arial Narrow"/>
        </w:rPr>
        <w:t>39.</w:t>
      </w:r>
    </w:p>
  </w:footnote>
  <w:footnote w:id="5">
    <w:p w14:paraId="5DACFCFA" w14:textId="0D5B2A39" w:rsidR="00E05D5C" w:rsidRPr="00FA3D54" w:rsidRDefault="00E05D5C" w:rsidP="00E05D5C">
      <w:pPr>
        <w:pStyle w:val="Voetnoottekst"/>
        <w:rPr>
          <w:rFonts w:ascii="Arial Narrow" w:hAnsi="Arial Narrow"/>
        </w:rPr>
      </w:pPr>
      <w:r>
        <w:rPr>
          <w:rStyle w:val="Voetnootmarkering"/>
        </w:rPr>
        <w:footnoteRef/>
      </w:r>
      <w:r>
        <w:t xml:space="preserve"> </w:t>
      </w:r>
      <w:r w:rsidRPr="00FA3D54">
        <w:rPr>
          <w:rFonts w:ascii="Arial Narrow" w:hAnsi="Arial Narrow"/>
          <w:bCs/>
        </w:rPr>
        <w:t>Art</w:t>
      </w:r>
      <w:r w:rsidR="001F7FCD">
        <w:rPr>
          <w:rFonts w:ascii="Arial Narrow" w:hAnsi="Arial Narrow"/>
          <w:bCs/>
        </w:rPr>
        <w:t xml:space="preserve">. </w:t>
      </w:r>
      <w:r w:rsidRPr="00FA3D54">
        <w:rPr>
          <w:rFonts w:ascii="Arial Narrow" w:hAnsi="Arial Narrow"/>
          <w:bCs/>
        </w:rPr>
        <w:t>31 §1 van de wet van 24 juli 1987 betreffende de tijdelijke arbeid, de uitzendarbeid en het ter beschikking stellen van werknemers ten behoeve van gebruikers, zoals gewijzigd door art</w:t>
      </w:r>
      <w:r w:rsidR="001F7FCD">
        <w:rPr>
          <w:rFonts w:ascii="Arial Narrow" w:hAnsi="Arial Narrow"/>
          <w:bCs/>
        </w:rPr>
        <w:t xml:space="preserve">. </w:t>
      </w:r>
      <w:r w:rsidRPr="00FA3D54">
        <w:rPr>
          <w:rFonts w:ascii="Arial Narrow" w:hAnsi="Arial Narrow"/>
          <w:bCs/>
        </w:rPr>
        <w:t>21 van de Programmawet van 27 december 2012.</w:t>
      </w:r>
    </w:p>
  </w:footnote>
  <w:footnote w:id="6">
    <w:p w14:paraId="26D1AF59" w14:textId="191992DC" w:rsidR="002209DF" w:rsidRPr="002209DF" w:rsidRDefault="002209DF">
      <w:pPr>
        <w:pStyle w:val="Voetnoottekst"/>
        <w:rPr>
          <w:rFonts w:ascii="Arial Narrow" w:hAnsi="Arial Narrow"/>
          <w:bCs/>
        </w:rPr>
      </w:pPr>
      <w:r>
        <w:rPr>
          <w:rStyle w:val="Voetnootmarkering"/>
        </w:rPr>
        <w:footnoteRef/>
      </w:r>
      <w:r>
        <w:t xml:space="preserve"> </w:t>
      </w:r>
      <w:r w:rsidRPr="002209DF">
        <w:rPr>
          <w:rFonts w:ascii="Arial Narrow" w:hAnsi="Arial Narrow"/>
          <w:bCs/>
        </w:rPr>
        <w:t>Art. 18</w:t>
      </w:r>
      <w:r>
        <w:rPr>
          <w:rFonts w:ascii="Arial Narrow" w:hAnsi="Arial Narrow"/>
          <w:bCs/>
        </w:rPr>
        <w:t xml:space="preserve"> van het</w:t>
      </w:r>
      <w:r w:rsidRPr="002209DF">
        <w:rPr>
          <w:rFonts w:ascii="Arial Narrow" w:hAnsi="Arial Narrow"/>
          <w:bCs/>
        </w:rPr>
        <w:t xml:space="preserve"> </w:t>
      </w:r>
      <w:r>
        <w:rPr>
          <w:rFonts w:ascii="Arial Narrow" w:hAnsi="Arial Narrow"/>
          <w:bCs/>
        </w:rPr>
        <w:t>Besluit van de Vlaamse Regering</w:t>
      </w:r>
      <w:r w:rsidRPr="002209DF">
        <w:rPr>
          <w:rFonts w:ascii="Arial Narrow" w:hAnsi="Arial Narrow"/>
          <w:bCs/>
        </w:rPr>
        <w:t xml:space="preserve"> </w:t>
      </w:r>
      <w:r>
        <w:rPr>
          <w:rFonts w:ascii="Arial Narrow" w:hAnsi="Arial Narrow"/>
          <w:bCs/>
        </w:rPr>
        <w:t xml:space="preserve">van </w:t>
      </w:r>
      <w:r w:rsidRPr="002209DF">
        <w:rPr>
          <w:rFonts w:ascii="Arial Narrow" w:hAnsi="Arial Narrow"/>
          <w:bCs/>
        </w:rPr>
        <w:t>20 januari 2023 tot vaststelling van de minimale voorwaarden van de rechtspositieregeling van het personeel van lokale en provinciale besturen</w:t>
      </w:r>
      <w:r w:rsidR="00333170">
        <w:rPr>
          <w:rFonts w:ascii="Arial Narrow" w:hAnsi="Arial Narrow"/>
          <w:bCs/>
        </w:rPr>
        <w:t xml:space="preserve">, gepubliceerd in het Belgisch Staatsblad van 8 maart 2023, hierna afgekort als ‘Rechtspositiebesluit’. </w:t>
      </w:r>
    </w:p>
  </w:footnote>
  <w:footnote w:id="7">
    <w:p w14:paraId="59992638" w14:textId="5FA9BFC7" w:rsidR="00333170" w:rsidRPr="00333170" w:rsidRDefault="00333170">
      <w:pPr>
        <w:pStyle w:val="Voetnoottekst"/>
        <w:rPr>
          <w:rFonts w:ascii="Arial Narrow" w:hAnsi="Arial Narrow"/>
          <w:bCs/>
        </w:rPr>
      </w:pPr>
      <w:r>
        <w:rPr>
          <w:rStyle w:val="Voetnootmarkering"/>
        </w:rPr>
        <w:footnoteRef/>
      </w:r>
      <w:r>
        <w:t xml:space="preserve"> </w:t>
      </w:r>
      <w:r w:rsidRPr="00333170">
        <w:rPr>
          <w:rFonts w:ascii="Arial Narrow" w:hAnsi="Arial Narrow"/>
          <w:bCs/>
        </w:rPr>
        <w:t>Art. 17 §2, Rechtspositiebesluit 20 januari 2023.</w:t>
      </w:r>
    </w:p>
  </w:footnote>
  <w:footnote w:id="8">
    <w:p w14:paraId="467B73B3" w14:textId="77777777" w:rsidR="00877C68" w:rsidRPr="00877C68" w:rsidRDefault="00877C68" w:rsidP="00877C68">
      <w:pPr>
        <w:pStyle w:val="Voetnoottekst"/>
        <w:rPr>
          <w:rFonts w:ascii="Arial Narrow" w:hAnsi="Arial Narrow"/>
          <w:bCs/>
        </w:rPr>
      </w:pPr>
      <w:r>
        <w:rPr>
          <w:rStyle w:val="Voetnootmarkering"/>
        </w:rPr>
        <w:footnoteRef/>
      </w:r>
      <w:r>
        <w:t xml:space="preserve"> A</w:t>
      </w:r>
      <w:r w:rsidRPr="00877C68">
        <w:rPr>
          <w:rFonts w:ascii="Arial Narrow" w:hAnsi="Arial Narrow"/>
          <w:bCs/>
        </w:rPr>
        <w:t>rt. 356/2, Decr</w:t>
      </w:r>
      <w:r>
        <w:rPr>
          <w:rFonts w:ascii="Arial Narrow" w:hAnsi="Arial Narrow"/>
          <w:bCs/>
        </w:rPr>
        <w:t>eet Lokaal Bestuur</w:t>
      </w:r>
    </w:p>
  </w:footnote>
  <w:footnote w:id="9">
    <w:p w14:paraId="09127F7C" w14:textId="77777777" w:rsidR="00877C68" w:rsidRPr="00EC642B" w:rsidRDefault="00877C68" w:rsidP="00877C68">
      <w:pPr>
        <w:pStyle w:val="Voetnoottekst"/>
        <w:rPr>
          <w:rFonts w:ascii="Arial Narrow" w:hAnsi="Arial Narrow"/>
          <w:bCs/>
        </w:rPr>
      </w:pPr>
      <w:r>
        <w:rPr>
          <w:rStyle w:val="Voetnootmarkering"/>
        </w:rPr>
        <w:footnoteRef/>
      </w:r>
      <w:r>
        <w:t xml:space="preserve"> </w:t>
      </w:r>
      <w:r>
        <w:rPr>
          <w:rFonts w:ascii="Arial Narrow" w:hAnsi="Arial Narrow"/>
          <w:bCs/>
        </w:rPr>
        <w:t>A</w:t>
      </w:r>
      <w:r w:rsidRPr="00EC642B">
        <w:rPr>
          <w:rFonts w:ascii="Arial Narrow" w:hAnsi="Arial Narrow"/>
          <w:bCs/>
        </w:rPr>
        <w:t>rt. 9, Decreet van 3 februari 2023 over regiovorming en de wijziging van het decreet over het lokaal bestuur</w:t>
      </w:r>
      <w:r>
        <w:rPr>
          <w:rFonts w:ascii="Arial Narrow" w:hAnsi="Arial Narrow"/>
          <w:bCs/>
        </w:rPr>
        <w:t>.</w:t>
      </w:r>
    </w:p>
  </w:footnote>
  <w:footnote w:id="10">
    <w:p w14:paraId="155369AA" w14:textId="73BCB2B2" w:rsidR="0036325F" w:rsidRDefault="002F5F64">
      <w:pPr>
        <w:pStyle w:val="Voetnoottekst"/>
        <w:rPr>
          <w:rFonts w:ascii="Arial Narrow" w:hAnsi="Arial Narrow"/>
        </w:rPr>
      </w:pPr>
      <w:r>
        <w:rPr>
          <w:rStyle w:val="Voetnootmarkering"/>
        </w:rPr>
        <w:footnoteRef/>
      </w:r>
      <w:r>
        <w:t xml:space="preserve"> </w:t>
      </w:r>
      <w:r w:rsidRPr="00FA3D54">
        <w:rPr>
          <w:rFonts w:ascii="Arial Narrow" w:hAnsi="Arial Narrow"/>
        </w:rPr>
        <w:t>Voor sommige situaties is er toch een rechts</w:t>
      </w:r>
      <w:r w:rsidR="00C23C75">
        <w:rPr>
          <w:rFonts w:ascii="Arial Narrow" w:hAnsi="Arial Narrow"/>
        </w:rPr>
        <w:t>grond</w:t>
      </w:r>
      <w:r w:rsidR="0036325F">
        <w:rPr>
          <w:rFonts w:ascii="Arial Narrow" w:hAnsi="Arial Narrow"/>
        </w:rPr>
        <w:t>, weliswaar vaak gepaard met enkele voorwaarden:</w:t>
      </w:r>
    </w:p>
    <w:p w14:paraId="479C6C3E" w14:textId="190191D4" w:rsidR="00562ACC" w:rsidRDefault="000F4F7A">
      <w:pPr>
        <w:pStyle w:val="Voetnoottekst"/>
        <w:rPr>
          <w:rFonts w:ascii="Arial Narrow" w:hAnsi="Arial Narrow"/>
        </w:rPr>
      </w:pPr>
      <w:r>
        <w:rPr>
          <w:rFonts w:ascii="Arial Narrow" w:hAnsi="Arial Narrow"/>
        </w:rPr>
        <w:t xml:space="preserve">Artikel 239 </w:t>
      </w:r>
      <w:r w:rsidR="00F82EB7">
        <w:rPr>
          <w:rFonts w:ascii="Arial Narrow" w:hAnsi="Arial Narrow"/>
        </w:rPr>
        <w:t xml:space="preserve">en 424/1 </w:t>
      </w:r>
      <w:r w:rsidR="003B1659">
        <w:rPr>
          <w:rFonts w:ascii="Arial Narrow" w:hAnsi="Arial Narrow"/>
        </w:rPr>
        <w:t>D</w:t>
      </w:r>
      <w:r w:rsidR="0036325F">
        <w:rPr>
          <w:rFonts w:ascii="Arial Narrow" w:hAnsi="Arial Narrow"/>
        </w:rPr>
        <w:t>ecreet Lokaal Bestuur (D</w:t>
      </w:r>
      <w:r w:rsidR="003B1659">
        <w:rPr>
          <w:rFonts w:ascii="Arial Narrow" w:hAnsi="Arial Narrow"/>
        </w:rPr>
        <w:t>LB</w:t>
      </w:r>
      <w:r w:rsidR="0036325F">
        <w:rPr>
          <w:rFonts w:ascii="Arial Narrow" w:hAnsi="Arial Narrow"/>
        </w:rPr>
        <w:t>)</w:t>
      </w:r>
      <w:r w:rsidR="003B1659">
        <w:rPr>
          <w:rFonts w:ascii="Arial Narrow" w:hAnsi="Arial Narrow"/>
        </w:rPr>
        <w:t xml:space="preserve"> </w:t>
      </w:r>
      <w:r>
        <w:rPr>
          <w:rFonts w:ascii="Arial Narrow" w:hAnsi="Arial Narrow"/>
        </w:rPr>
        <w:t>herha</w:t>
      </w:r>
      <w:r w:rsidR="00F82EB7">
        <w:rPr>
          <w:rFonts w:ascii="Arial Narrow" w:hAnsi="Arial Narrow"/>
        </w:rPr>
        <w:t>len</w:t>
      </w:r>
      <w:r w:rsidR="0036325F">
        <w:rPr>
          <w:rFonts w:ascii="Arial Narrow" w:hAnsi="Arial Narrow"/>
        </w:rPr>
        <w:t xml:space="preserve"> artikel 185/1 §1 DLB met </w:t>
      </w:r>
      <w:r>
        <w:rPr>
          <w:rFonts w:ascii="Arial Narrow" w:hAnsi="Arial Narrow"/>
        </w:rPr>
        <w:t xml:space="preserve">de mogelijke overdracht van personeel </w:t>
      </w:r>
      <w:r w:rsidR="00EC509F">
        <w:rPr>
          <w:rFonts w:ascii="Arial Narrow" w:hAnsi="Arial Narrow"/>
        </w:rPr>
        <w:t xml:space="preserve">(statutair / contractant) </w:t>
      </w:r>
      <w:r w:rsidR="003B1659">
        <w:rPr>
          <w:rFonts w:ascii="Arial Narrow" w:hAnsi="Arial Narrow"/>
        </w:rPr>
        <w:t xml:space="preserve">tussen gemeente en </w:t>
      </w:r>
      <w:r w:rsidR="00F82EB7">
        <w:rPr>
          <w:rFonts w:ascii="Arial Narrow" w:hAnsi="Arial Narrow"/>
        </w:rPr>
        <w:t xml:space="preserve">“haar” </w:t>
      </w:r>
      <w:r w:rsidR="003B1659">
        <w:rPr>
          <w:rFonts w:ascii="Arial Narrow" w:hAnsi="Arial Narrow"/>
        </w:rPr>
        <w:t>autonoom gemeentebedrijf</w:t>
      </w:r>
      <w:r w:rsidR="00F82EB7">
        <w:rPr>
          <w:rFonts w:ascii="Arial Narrow" w:hAnsi="Arial Narrow"/>
        </w:rPr>
        <w:t>, resp. de dienstverlenende of opdrachthoudende vereniging waarvan ze deel uitmaakt.</w:t>
      </w:r>
      <w:r w:rsidR="00562ACC">
        <w:rPr>
          <w:rFonts w:ascii="Arial Narrow" w:hAnsi="Arial Narrow"/>
        </w:rPr>
        <w:t xml:space="preserve"> </w:t>
      </w:r>
    </w:p>
    <w:p w14:paraId="2401898A" w14:textId="195D7CA6" w:rsidR="00562ACC" w:rsidRDefault="00562ACC" w:rsidP="00562ACC">
      <w:pPr>
        <w:pStyle w:val="Voetnoottekst"/>
        <w:rPr>
          <w:rFonts w:ascii="Arial Narrow" w:hAnsi="Arial Narrow"/>
        </w:rPr>
      </w:pPr>
      <w:r>
        <w:rPr>
          <w:rFonts w:ascii="Arial Narrow" w:hAnsi="Arial Narrow"/>
        </w:rPr>
        <w:t>Art. 244 DLB regelt de overname van personeel bij ontbinding van het autonoom gemeentebedrijf: h</w:t>
      </w:r>
      <w:r w:rsidRPr="00562ACC">
        <w:rPr>
          <w:rFonts w:ascii="Arial Narrow" w:hAnsi="Arial Narrow"/>
        </w:rPr>
        <w:t>et statutaire personeel wordt, met behoud van rechten, overgenomen door de gemeente zelf. Als een andere entiteit de activiteiten van het AGB overneemt of voortzet, kan het statutaire personeel ook daarnaar worden overgedragen, voor zover het daarmee instemt.</w:t>
      </w:r>
      <w:r>
        <w:rPr>
          <w:rFonts w:ascii="Arial Narrow" w:hAnsi="Arial Narrow"/>
        </w:rPr>
        <w:t xml:space="preserve"> </w:t>
      </w:r>
      <w:r w:rsidRPr="00562ACC">
        <w:rPr>
          <w:rFonts w:ascii="Arial Narrow" w:hAnsi="Arial Narrow"/>
        </w:rPr>
        <w:t xml:space="preserve">De gemeente neemt </w:t>
      </w:r>
      <w:r>
        <w:rPr>
          <w:rFonts w:ascii="Arial Narrow" w:hAnsi="Arial Narrow"/>
        </w:rPr>
        <w:t xml:space="preserve">bovendien </w:t>
      </w:r>
      <w:r w:rsidRPr="00562ACC">
        <w:rPr>
          <w:rFonts w:ascii="Arial Narrow" w:hAnsi="Arial Narrow"/>
        </w:rPr>
        <w:t xml:space="preserve">alle rechten en plichten van het ontbonden AGB op zich, tenzij die worden overgenomen door de entiteit die de AGB-activiteiten voortzet. Dat betekent ook dat de gemeente de lopende arbeidscontracten overneemt en ten minste gedurende één jaar respecteert. </w:t>
      </w:r>
    </w:p>
    <w:p w14:paraId="3583E268" w14:textId="3329B8AA" w:rsidR="000F4F7A" w:rsidRDefault="00EC509F">
      <w:pPr>
        <w:pStyle w:val="Voetnoottekst"/>
        <w:rPr>
          <w:rFonts w:ascii="Arial Narrow" w:hAnsi="Arial Narrow"/>
        </w:rPr>
      </w:pPr>
      <w:r>
        <w:rPr>
          <w:rFonts w:ascii="Arial Narrow" w:hAnsi="Arial Narrow"/>
        </w:rPr>
        <w:t xml:space="preserve">Artikel 247 DLB herhaalt </w:t>
      </w:r>
      <w:r w:rsidR="00562ACC">
        <w:rPr>
          <w:rFonts w:ascii="Arial Narrow" w:hAnsi="Arial Narrow"/>
        </w:rPr>
        <w:t xml:space="preserve">artikel 185/1 §2 met </w:t>
      </w:r>
      <w:r>
        <w:rPr>
          <w:rFonts w:ascii="Arial Narrow" w:hAnsi="Arial Narrow"/>
        </w:rPr>
        <w:t xml:space="preserve">de mogelijke overdracht van contractanten vanuit de gemeente naar </w:t>
      </w:r>
      <w:r w:rsidR="00F82EB7">
        <w:rPr>
          <w:rFonts w:ascii="Arial Narrow" w:hAnsi="Arial Narrow"/>
        </w:rPr>
        <w:t>“</w:t>
      </w:r>
      <w:r>
        <w:rPr>
          <w:rFonts w:ascii="Arial Narrow" w:hAnsi="Arial Narrow"/>
        </w:rPr>
        <w:t>haar</w:t>
      </w:r>
      <w:r w:rsidR="00F82EB7">
        <w:rPr>
          <w:rFonts w:ascii="Arial Narrow" w:hAnsi="Arial Narrow"/>
        </w:rPr>
        <w:t>”</w:t>
      </w:r>
      <w:r>
        <w:rPr>
          <w:rFonts w:ascii="Arial Narrow" w:hAnsi="Arial Narrow"/>
        </w:rPr>
        <w:t xml:space="preserve"> gemeentelijke</w:t>
      </w:r>
      <w:r w:rsidR="00F82EB7">
        <w:rPr>
          <w:rFonts w:ascii="Arial Narrow" w:hAnsi="Arial Narrow"/>
        </w:rPr>
        <w:t xml:space="preserve"> </w:t>
      </w:r>
      <w:r>
        <w:rPr>
          <w:rFonts w:ascii="Arial Narrow" w:hAnsi="Arial Narrow"/>
        </w:rPr>
        <w:t>vennootschap, vereniging of stichting</w:t>
      </w:r>
      <w:r w:rsidR="00F82EB7">
        <w:rPr>
          <w:rFonts w:ascii="Arial Narrow" w:hAnsi="Arial Narrow"/>
        </w:rPr>
        <w:t xml:space="preserve"> in privaatrechtelijke vorm</w:t>
      </w:r>
      <w:r>
        <w:rPr>
          <w:rFonts w:ascii="Arial Narrow" w:hAnsi="Arial Narrow"/>
        </w:rPr>
        <w:t xml:space="preserve">. </w:t>
      </w:r>
    </w:p>
    <w:p w14:paraId="1DE9C8C6" w14:textId="3F1C4639" w:rsidR="00BD4E71" w:rsidRDefault="00BD4E71" w:rsidP="0036325F">
      <w:pPr>
        <w:pStyle w:val="Voetnoottekst"/>
        <w:rPr>
          <w:rFonts w:ascii="Arial Narrow" w:hAnsi="Arial Narrow"/>
        </w:rPr>
      </w:pPr>
      <w:r>
        <w:rPr>
          <w:rFonts w:ascii="Arial Narrow" w:hAnsi="Arial Narrow"/>
        </w:rPr>
        <w:t>Artikel 425 DLB regelt de overname van personeel bij ontbinding van de dienstverlenende of opdrachthoudende vereniging:</w:t>
      </w:r>
      <w:r w:rsidR="0036325F">
        <w:rPr>
          <w:rFonts w:ascii="Arial Narrow" w:hAnsi="Arial Narrow"/>
        </w:rPr>
        <w:t xml:space="preserve"> ze </w:t>
      </w:r>
      <w:r w:rsidR="0036325F" w:rsidRPr="0036325F">
        <w:rPr>
          <w:rFonts w:ascii="Arial Narrow" w:hAnsi="Arial Narrow"/>
        </w:rPr>
        <w:t xml:space="preserve">worden overgenomen door ofwel de deelnemers in de vereniging, of door de eventuele overnemers van de activiteit, altijd in verhouding tot de kapitaalinbreng of overeenkomstig de bereikte akkoorden. </w:t>
      </w:r>
      <w:r w:rsidR="0036325F">
        <w:rPr>
          <w:rFonts w:ascii="Arial Narrow" w:hAnsi="Arial Narrow"/>
        </w:rPr>
        <w:t xml:space="preserve">De medewerkers </w:t>
      </w:r>
      <w:r w:rsidR="0036325F" w:rsidRPr="0036325F">
        <w:rPr>
          <w:rFonts w:ascii="Arial Narrow" w:hAnsi="Arial Narrow"/>
        </w:rPr>
        <w:t>zelf kunnen niet gebonden worden door die plicht tot overname.</w:t>
      </w:r>
      <w:r w:rsidR="0036325F">
        <w:rPr>
          <w:rFonts w:ascii="Arial Narrow" w:hAnsi="Arial Narrow"/>
        </w:rPr>
        <w:t xml:space="preserve"> </w:t>
      </w:r>
      <w:r w:rsidR="0036325F" w:rsidRPr="0036325F">
        <w:rPr>
          <w:rFonts w:ascii="Arial Narrow" w:hAnsi="Arial Narrow"/>
        </w:rPr>
        <w:t>De nieuwe werkgever moet de rechten die de personeelsleden hadden op het moment van de ontbinding waarborgen, zowel voor de statutairen als de contractanten Het personeel dat wordt overgenomen door een gemeente komt met behoud van de geldelijke rechten terecht in een uitdovend overgangskader.</w:t>
      </w:r>
    </w:p>
    <w:p w14:paraId="3A2B31B8" w14:textId="429F0776" w:rsidR="00297DB8" w:rsidRDefault="003B1659">
      <w:pPr>
        <w:pStyle w:val="Voetnoottekst"/>
        <w:rPr>
          <w:rFonts w:ascii="Arial Narrow" w:hAnsi="Arial Narrow"/>
        </w:rPr>
      </w:pPr>
      <w:r>
        <w:rPr>
          <w:rFonts w:ascii="Arial Narrow" w:hAnsi="Arial Narrow"/>
        </w:rPr>
        <w:t>A</w:t>
      </w:r>
      <w:r w:rsidR="00297DB8">
        <w:rPr>
          <w:rFonts w:ascii="Arial Narrow" w:hAnsi="Arial Narrow"/>
        </w:rPr>
        <w:t xml:space="preserve">rt. </w:t>
      </w:r>
      <w:r w:rsidR="00C51576">
        <w:rPr>
          <w:rFonts w:ascii="Arial Narrow" w:hAnsi="Arial Narrow"/>
        </w:rPr>
        <w:t>474</w:t>
      </w:r>
      <w:r w:rsidR="0036325F">
        <w:rPr>
          <w:rFonts w:ascii="Arial Narrow" w:hAnsi="Arial Narrow"/>
        </w:rPr>
        <w:t xml:space="preserve"> §4</w:t>
      </w:r>
      <w:r w:rsidR="00C51576">
        <w:rPr>
          <w:rFonts w:ascii="Arial Narrow" w:hAnsi="Arial Narrow"/>
        </w:rPr>
        <w:t xml:space="preserve">, art. </w:t>
      </w:r>
      <w:r w:rsidR="00297DB8">
        <w:rPr>
          <w:rFonts w:ascii="Arial Narrow" w:hAnsi="Arial Narrow"/>
        </w:rPr>
        <w:t>4</w:t>
      </w:r>
      <w:r w:rsidR="0036325F">
        <w:rPr>
          <w:rFonts w:ascii="Arial Narrow" w:hAnsi="Arial Narrow"/>
        </w:rPr>
        <w:t>95 §2</w:t>
      </w:r>
      <w:r w:rsidR="00297DB8">
        <w:rPr>
          <w:rFonts w:ascii="Arial Narrow" w:hAnsi="Arial Narrow"/>
        </w:rPr>
        <w:t xml:space="preserve"> </w:t>
      </w:r>
      <w:r w:rsidR="00B731B8">
        <w:rPr>
          <w:rFonts w:ascii="Arial Narrow" w:hAnsi="Arial Narrow"/>
        </w:rPr>
        <w:t xml:space="preserve">en art. 500 </w:t>
      </w:r>
      <w:r w:rsidR="00297DB8">
        <w:rPr>
          <w:rFonts w:ascii="Arial Narrow" w:hAnsi="Arial Narrow"/>
        </w:rPr>
        <w:t xml:space="preserve">Decreet Lokaal Bestuur </w:t>
      </w:r>
      <w:r w:rsidR="00F75580">
        <w:rPr>
          <w:rFonts w:ascii="Arial Narrow" w:hAnsi="Arial Narrow"/>
        </w:rPr>
        <w:t xml:space="preserve">maken </w:t>
      </w:r>
      <w:r w:rsidR="002F5F64" w:rsidRPr="00FA3D54">
        <w:rPr>
          <w:rFonts w:ascii="Arial Narrow" w:hAnsi="Arial Narrow"/>
        </w:rPr>
        <w:t xml:space="preserve">de overdracht </w:t>
      </w:r>
      <w:r w:rsidR="00297DB8">
        <w:rPr>
          <w:rFonts w:ascii="Arial Narrow" w:hAnsi="Arial Narrow"/>
        </w:rPr>
        <w:t xml:space="preserve">mogelijk </w:t>
      </w:r>
      <w:r w:rsidR="002F5F64" w:rsidRPr="00FA3D54">
        <w:rPr>
          <w:rFonts w:ascii="Arial Narrow" w:hAnsi="Arial Narrow"/>
        </w:rPr>
        <w:t xml:space="preserve">van personeel </w:t>
      </w:r>
      <w:r w:rsidR="002D08EA">
        <w:rPr>
          <w:rFonts w:ascii="Arial Narrow" w:hAnsi="Arial Narrow"/>
        </w:rPr>
        <w:t xml:space="preserve">(statutair/ personeel) tussen </w:t>
      </w:r>
      <w:r w:rsidR="002F5F64" w:rsidRPr="00FA3D54">
        <w:rPr>
          <w:rFonts w:ascii="Arial Narrow" w:hAnsi="Arial Narrow"/>
        </w:rPr>
        <w:t xml:space="preserve">een OCMW dat deelgenoot is van een </w:t>
      </w:r>
      <w:r w:rsidR="00754620">
        <w:rPr>
          <w:rFonts w:ascii="Arial Narrow" w:hAnsi="Arial Narrow"/>
        </w:rPr>
        <w:t xml:space="preserve">publiekrechtelijke </w:t>
      </w:r>
      <w:r w:rsidR="00297DB8">
        <w:rPr>
          <w:rFonts w:ascii="Arial Narrow" w:hAnsi="Arial Narrow"/>
        </w:rPr>
        <w:t>Welzijnsvereniging of Autonome Verzorgingsinstelling</w:t>
      </w:r>
      <w:r w:rsidR="002D08EA">
        <w:rPr>
          <w:rFonts w:ascii="Arial Narrow" w:hAnsi="Arial Narrow"/>
        </w:rPr>
        <w:t>,</w:t>
      </w:r>
      <w:r w:rsidR="00297DB8">
        <w:rPr>
          <w:rFonts w:ascii="Arial Narrow" w:hAnsi="Arial Narrow"/>
        </w:rPr>
        <w:t xml:space="preserve"> </w:t>
      </w:r>
      <w:r w:rsidR="002D08EA">
        <w:rPr>
          <w:rFonts w:ascii="Arial Narrow" w:hAnsi="Arial Narrow"/>
        </w:rPr>
        <w:t>en</w:t>
      </w:r>
      <w:r w:rsidR="002F5F64" w:rsidRPr="00FA3D54">
        <w:rPr>
          <w:rFonts w:ascii="Arial Narrow" w:hAnsi="Arial Narrow"/>
        </w:rPr>
        <w:t xml:space="preserve"> die vereniging</w:t>
      </w:r>
      <w:r w:rsidR="00297DB8">
        <w:rPr>
          <w:rFonts w:ascii="Arial Narrow" w:hAnsi="Arial Narrow"/>
        </w:rPr>
        <w:t xml:space="preserve"> of instelling</w:t>
      </w:r>
      <w:r w:rsidR="002F5F64" w:rsidRPr="00FA3D54">
        <w:rPr>
          <w:rFonts w:ascii="Arial Narrow" w:hAnsi="Arial Narrow"/>
        </w:rPr>
        <w:t>.</w:t>
      </w:r>
      <w:r w:rsidR="00C23C75">
        <w:rPr>
          <w:rFonts w:ascii="Arial Narrow" w:hAnsi="Arial Narrow"/>
        </w:rPr>
        <w:t xml:space="preserve"> </w:t>
      </w:r>
      <w:r w:rsidR="00297DB8">
        <w:rPr>
          <w:rFonts w:ascii="Arial Narrow" w:hAnsi="Arial Narrow"/>
        </w:rPr>
        <w:t>Dat is een concrete verduidelijking van art. 185</w:t>
      </w:r>
      <w:r w:rsidR="007D64C0">
        <w:rPr>
          <w:rFonts w:ascii="Arial Narrow" w:hAnsi="Arial Narrow"/>
        </w:rPr>
        <w:t>/1</w:t>
      </w:r>
      <w:r w:rsidR="00297DB8">
        <w:rPr>
          <w:rFonts w:ascii="Arial Narrow" w:hAnsi="Arial Narrow"/>
        </w:rPr>
        <w:t xml:space="preserve"> §</w:t>
      </w:r>
      <w:r w:rsidR="0036325F">
        <w:rPr>
          <w:rFonts w:ascii="Arial Narrow" w:hAnsi="Arial Narrow"/>
        </w:rPr>
        <w:t>1</w:t>
      </w:r>
      <w:r w:rsidR="00297DB8">
        <w:rPr>
          <w:rFonts w:ascii="Arial Narrow" w:hAnsi="Arial Narrow"/>
        </w:rPr>
        <w:t xml:space="preserve"> DLB.</w:t>
      </w:r>
    </w:p>
    <w:p w14:paraId="20828EEC" w14:textId="765A5857" w:rsidR="00B731B8" w:rsidRPr="00FA3D54" w:rsidRDefault="00297DB8">
      <w:pPr>
        <w:pStyle w:val="Voetnoottekst"/>
        <w:rPr>
          <w:rFonts w:ascii="Arial Narrow" w:hAnsi="Arial Narrow"/>
        </w:rPr>
      </w:pPr>
      <w:r>
        <w:rPr>
          <w:rFonts w:ascii="Arial Narrow" w:hAnsi="Arial Narrow"/>
        </w:rPr>
        <w:t xml:space="preserve">Bovendien kan </w:t>
      </w:r>
      <w:r w:rsidR="002D08EA">
        <w:rPr>
          <w:rFonts w:ascii="Arial Narrow" w:hAnsi="Arial Narrow"/>
        </w:rPr>
        <w:t xml:space="preserve">contractueel </w:t>
      </w:r>
      <w:r>
        <w:rPr>
          <w:rFonts w:ascii="Arial Narrow" w:hAnsi="Arial Narrow"/>
        </w:rPr>
        <w:t xml:space="preserve">OCMW-personeel overgedragen worden naar </w:t>
      </w:r>
      <w:r w:rsidR="00741A6C">
        <w:rPr>
          <w:rFonts w:ascii="Arial Narrow" w:hAnsi="Arial Narrow"/>
        </w:rPr>
        <w:t>privaatrechtelijke ziekenhuisverenigingen</w:t>
      </w:r>
      <w:r>
        <w:rPr>
          <w:rFonts w:ascii="Arial Narrow" w:hAnsi="Arial Narrow"/>
        </w:rPr>
        <w:t xml:space="preserve"> (art. </w:t>
      </w:r>
      <w:r w:rsidR="00C51576">
        <w:rPr>
          <w:rFonts w:ascii="Arial Narrow" w:hAnsi="Arial Narrow"/>
        </w:rPr>
        <w:t xml:space="preserve">474 </w:t>
      </w:r>
      <w:r w:rsidR="0036325F">
        <w:rPr>
          <w:rFonts w:ascii="Arial Narrow" w:hAnsi="Arial Narrow"/>
        </w:rPr>
        <w:t xml:space="preserve">§4 </w:t>
      </w:r>
      <w:r w:rsidR="00C51576">
        <w:rPr>
          <w:rFonts w:ascii="Arial Narrow" w:hAnsi="Arial Narrow"/>
        </w:rPr>
        <w:t xml:space="preserve">en </w:t>
      </w:r>
      <w:r>
        <w:rPr>
          <w:rFonts w:ascii="Arial Narrow" w:hAnsi="Arial Narrow"/>
        </w:rPr>
        <w:t xml:space="preserve">505 DLB), naar </w:t>
      </w:r>
      <w:r w:rsidR="00754620">
        <w:rPr>
          <w:rFonts w:ascii="Arial Narrow" w:hAnsi="Arial Narrow"/>
        </w:rPr>
        <w:t xml:space="preserve">privaatrechtelijke </w:t>
      </w:r>
      <w:r>
        <w:rPr>
          <w:rFonts w:ascii="Arial Narrow" w:hAnsi="Arial Narrow"/>
        </w:rPr>
        <w:t xml:space="preserve">verenigingen of vennootschappen met sociale dienstverlening (art. </w:t>
      </w:r>
      <w:r w:rsidR="00C51576">
        <w:rPr>
          <w:rFonts w:ascii="Arial Narrow" w:hAnsi="Arial Narrow"/>
        </w:rPr>
        <w:t>474</w:t>
      </w:r>
      <w:r w:rsidR="0036325F">
        <w:rPr>
          <w:rFonts w:ascii="Arial Narrow" w:hAnsi="Arial Narrow"/>
        </w:rPr>
        <w:t xml:space="preserve"> §4 en art.</w:t>
      </w:r>
      <w:r>
        <w:rPr>
          <w:rFonts w:ascii="Arial Narrow" w:hAnsi="Arial Narrow"/>
        </w:rPr>
        <w:t xml:space="preserve"> 51</w:t>
      </w:r>
      <w:r w:rsidR="0036325F">
        <w:rPr>
          <w:rFonts w:ascii="Arial Narrow" w:hAnsi="Arial Narrow"/>
        </w:rPr>
        <w:t>1</w:t>
      </w:r>
      <w:r>
        <w:rPr>
          <w:rFonts w:ascii="Arial Narrow" w:hAnsi="Arial Narrow"/>
        </w:rPr>
        <w:t xml:space="preserve"> DLB) en naar woonzorgverenigingen of -vennootschappen</w:t>
      </w:r>
      <w:r w:rsidRPr="00297DB8">
        <w:rPr>
          <w:rFonts w:ascii="Arial Narrow" w:hAnsi="Arial Narrow"/>
        </w:rPr>
        <w:t xml:space="preserve"> </w:t>
      </w:r>
      <w:r>
        <w:rPr>
          <w:rFonts w:ascii="Arial Narrow" w:hAnsi="Arial Narrow"/>
        </w:rPr>
        <w:t>(art.</w:t>
      </w:r>
      <w:r w:rsidR="00C51576">
        <w:rPr>
          <w:rFonts w:ascii="Arial Narrow" w:hAnsi="Arial Narrow"/>
        </w:rPr>
        <w:t xml:space="preserve">474 en </w:t>
      </w:r>
      <w:r>
        <w:rPr>
          <w:rFonts w:ascii="Arial Narrow" w:hAnsi="Arial Narrow"/>
        </w:rPr>
        <w:t xml:space="preserve"> 515 DLB).</w:t>
      </w:r>
      <w:r w:rsidR="00754620">
        <w:rPr>
          <w:rFonts w:ascii="Arial Narrow" w:hAnsi="Arial Narrow"/>
        </w:rPr>
        <w:t xml:space="preserve"> </w:t>
      </w:r>
      <w:r w:rsidR="0036325F">
        <w:rPr>
          <w:rFonts w:ascii="Arial Narrow" w:hAnsi="Arial Narrow"/>
        </w:rPr>
        <w:t>Ook hier gaat het om een concrete toepassing van artikel 185/1 §2 DLB.</w:t>
      </w:r>
    </w:p>
  </w:footnote>
  <w:footnote w:id="11">
    <w:p w14:paraId="2631141A" w14:textId="2EABC569" w:rsidR="000E144F" w:rsidRDefault="000E144F">
      <w:pPr>
        <w:pStyle w:val="Voetnoottekst"/>
      </w:pPr>
      <w:r>
        <w:rPr>
          <w:rStyle w:val="Voetnootmarkering"/>
        </w:rPr>
        <w:footnoteRef/>
      </w:r>
      <w:r>
        <w:t xml:space="preserve"> </w:t>
      </w:r>
      <w:r w:rsidRPr="00FA3D54">
        <w:rPr>
          <w:rFonts w:ascii="Arial Narrow" w:hAnsi="Arial Narrow"/>
          <w:lang w:val="nl-NL"/>
        </w:rPr>
        <w:t xml:space="preserve">Zie </w:t>
      </w:r>
      <w:r w:rsidR="00FF733F" w:rsidRPr="00FF733F">
        <w:rPr>
          <w:rFonts w:ascii="Arial Narrow" w:hAnsi="Arial Narrow"/>
          <w:lang w:val="nl-NL"/>
        </w:rPr>
        <w:t>ar</w:t>
      </w:r>
      <w:r w:rsidR="001F7FCD">
        <w:rPr>
          <w:rFonts w:ascii="Arial Narrow" w:hAnsi="Arial Narrow"/>
          <w:lang w:val="nl-NL"/>
        </w:rPr>
        <w:t>t.</w:t>
      </w:r>
      <w:r w:rsidR="00FF733F" w:rsidRPr="00FF733F">
        <w:rPr>
          <w:rFonts w:ascii="Arial Narrow" w:hAnsi="Arial Narrow"/>
          <w:lang w:val="nl-NL"/>
        </w:rPr>
        <w:t xml:space="preserve"> 185</w:t>
      </w:r>
      <w:r w:rsidR="00DB7E1D">
        <w:rPr>
          <w:rFonts w:ascii="Arial Narrow" w:hAnsi="Arial Narrow"/>
          <w:lang w:val="nl-NL"/>
        </w:rPr>
        <w:t>/1</w:t>
      </w:r>
      <w:r w:rsidR="00FF733F" w:rsidRPr="00FF733F">
        <w:rPr>
          <w:rFonts w:ascii="Arial Narrow" w:hAnsi="Arial Narrow"/>
          <w:lang w:val="nl-NL"/>
        </w:rPr>
        <w:t xml:space="preserve"> §</w:t>
      </w:r>
      <w:r w:rsidR="00DB7E1D">
        <w:rPr>
          <w:rFonts w:ascii="Arial Narrow" w:hAnsi="Arial Narrow"/>
          <w:lang w:val="nl-NL"/>
        </w:rPr>
        <w:t>2</w:t>
      </w:r>
      <w:r w:rsidR="00FF733F" w:rsidRPr="00FF733F">
        <w:rPr>
          <w:rFonts w:ascii="Arial Narrow" w:hAnsi="Arial Narrow"/>
          <w:lang w:val="nl-NL"/>
        </w:rPr>
        <w:t xml:space="preserve"> en ar</w:t>
      </w:r>
      <w:r w:rsidR="001F7FCD">
        <w:rPr>
          <w:rFonts w:ascii="Arial Narrow" w:hAnsi="Arial Narrow"/>
          <w:lang w:val="nl-NL"/>
        </w:rPr>
        <w:t>t.</w:t>
      </w:r>
      <w:r w:rsidR="00FF733F" w:rsidRPr="00FF733F">
        <w:rPr>
          <w:rFonts w:ascii="Arial Narrow" w:hAnsi="Arial Narrow"/>
          <w:lang w:val="nl-NL"/>
        </w:rPr>
        <w:t xml:space="preserve"> 197 Decreet Lokaal Bestuur </w:t>
      </w:r>
      <w:r w:rsidRPr="00FA3D54">
        <w:rPr>
          <w:rFonts w:ascii="Arial Narrow" w:hAnsi="Arial Narrow"/>
          <w:lang w:val="nl-NL"/>
        </w:rPr>
        <w:t>voor wat de overdracht van personeel tussen gemeente en OCMW betreft</w:t>
      </w:r>
      <w:r w:rsidR="00F22990" w:rsidRPr="00FA3D54">
        <w:rPr>
          <w:rFonts w:ascii="Arial Narrow" w:hAnsi="Arial Narrow"/>
          <w:lang w:val="nl-NL"/>
        </w:rPr>
        <w:t>.</w:t>
      </w:r>
    </w:p>
  </w:footnote>
  <w:footnote w:id="12">
    <w:p w14:paraId="55AB8826" w14:textId="19BDF295" w:rsidR="00834ABE" w:rsidRDefault="00834ABE">
      <w:pPr>
        <w:pStyle w:val="Voetnoottekst"/>
      </w:pPr>
      <w:r>
        <w:rPr>
          <w:rStyle w:val="Voetnootmarkering"/>
        </w:rPr>
        <w:footnoteRef/>
      </w:r>
      <w:r>
        <w:t xml:space="preserve"> </w:t>
      </w:r>
      <w:r w:rsidRPr="00834ABE">
        <w:rPr>
          <w:rFonts w:ascii="Arial Narrow" w:hAnsi="Arial Narrow"/>
        </w:rPr>
        <w:t>De formele motiveringsverplichting geldt als het bestuur een bestuurshandeling neemt met individuele draagwijdte (Wet Motivering Bestuurshandelingen van 21 juli 1991).</w:t>
      </w:r>
    </w:p>
  </w:footnote>
  <w:footnote w:id="13">
    <w:p w14:paraId="5DACFCFC" w14:textId="77777777" w:rsidR="00CE727E" w:rsidRDefault="00CE727E">
      <w:pPr>
        <w:pStyle w:val="Voetnoottekst"/>
      </w:pPr>
      <w:r>
        <w:rPr>
          <w:rStyle w:val="Voetnootmarkering"/>
        </w:rPr>
        <w:footnoteRef/>
      </w:r>
      <w:r>
        <w:t xml:space="preserve"> </w:t>
      </w:r>
      <w:r w:rsidRPr="00FA3D54">
        <w:rPr>
          <w:rFonts w:ascii="Arial Narrow" w:hAnsi="Arial Narrow"/>
        </w:rPr>
        <w:t xml:space="preserve">Europese Richtlijn </w:t>
      </w:r>
      <w:r w:rsidR="003F4D5C" w:rsidRPr="00FA3D54">
        <w:rPr>
          <w:rFonts w:ascii="Arial Narrow" w:hAnsi="Arial Narrow"/>
          <w:lang w:val="nl-NL"/>
        </w:rPr>
        <w:t xml:space="preserve">2001/23/EG </w:t>
      </w:r>
      <w:r w:rsidR="003F4D5C" w:rsidRPr="00FA3D54">
        <w:rPr>
          <w:rFonts w:ascii="Arial Narrow" w:hAnsi="Arial Narrow" w:cs="Arial"/>
          <w:lang w:val="nl-NL"/>
        </w:rPr>
        <w:t xml:space="preserve">van de Raad van 12 maart 2001 </w:t>
      </w:r>
      <w:r w:rsidRPr="00FA3D54">
        <w:rPr>
          <w:rFonts w:ascii="Arial Narrow" w:hAnsi="Arial Narrow"/>
        </w:rPr>
        <w:t xml:space="preserve">inzake de onderlinge aanpassing van de wetgevingen der lidstaten betreffende het behoud van de rechten van de werknemers bij overgang van ondernemingen, vestigingen of onderdelen van </w:t>
      </w:r>
      <w:r w:rsidR="003F4D5C" w:rsidRPr="00FA3D54">
        <w:rPr>
          <w:rFonts w:ascii="Arial Narrow" w:hAnsi="Arial Narrow"/>
        </w:rPr>
        <w:t xml:space="preserve">ondernemingen of </w:t>
      </w:r>
      <w:r w:rsidRPr="00FA3D54">
        <w:rPr>
          <w:rFonts w:ascii="Arial Narrow" w:hAnsi="Arial Narrow"/>
        </w:rPr>
        <w:t>vestigingen.</w:t>
      </w:r>
    </w:p>
  </w:footnote>
  <w:footnote w:id="14">
    <w:p w14:paraId="5B53560F" w14:textId="2920568D" w:rsidR="006E44DB" w:rsidRDefault="006E44DB">
      <w:pPr>
        <w:pStyle w:val="Voetnoottekst"/>
      </w:pPr>
      <w:r>
        <w:rPr>
          <w:rStyle w:val="Voetnootmarkering"/>
        </w:rPr>
        <w:footnoteRef/>
      </w:r>
      <w:r>
        <w:t xml:space="preserve"> Dat laatste is enkel het geval als ook de cao 32bis van toepassing is, want de Europese richtlijn op zich is enkel tegenstelbaar aan overheden, niet aan particulieren. </w:t>
      </w:r>
    </w:p>
  </w:footnote>
  <w:footnote w:id="15">
    <w:p w14:paraId="5DACFCFE" w14:textId="3B0A4036" w:rsidR="00CE727E" w:rsidRDefault="00CE727E">
      <w:pPr>
        <w:pStyle w:val="Voetnoottekst"/>
      </w:pPr>
      <w:r>
        <w:rPr>
          <w:rStyle w:val="Voetnootmarkering"/>
        </w:rPr>
        <w:footnoteRef/>
      </w:r>
      <w:r>
        <w:t xml:space="preserve"> </w:t>
      </w:r>
      <w:r w:rsidRPr="00FA3D54">
        <w:rPr>
          <w:rFonts w:ascii="Arial Narrow" w:hAnsi="Arial Narrow"/>
        </w:rPr>
        <w:t>De Raad van State besliste meermaals dat enkel aangelegenheden die tot de ‘institutionele bedrijvigheid of werking’ worden gerekend, en niet degene die tot de “functionele bedrijvigheid of werking” behoren, het voorwerp dienen uit te maken van onderhandeling of overleg. (</w:t>
      </w:r>
      <w:r w:rsidR="00A23030" w:rsidRPr="00A23030">
        <w:rPr>
          <w:rFonts w:ascii="Arial Narrow" w:hAnsi="Arial Narrow"/>
        </w:rPr>
        <w:t xml:space="preserve">R. JANVIER, S. PALINCKX, P. HUMBLET en I. DE WILDE, Collectieve arbeidsverhoudingen in de publieke sector, Administratieve Rechtsbibliotheek, nr. 4.I., </w:t>
      </w:r>
      <w:r w:rsidR="00A23030" w:rsidRPr="00A23030">
        <w:rPr>
          <w:rFonts w:ascii="Arial Narrow" w:hAnsi="Arial Narrow"/>
          <w:i/>
        </w:rPr>
        <w:t>die Keure</w:t>
      </w:r>
      <w:r w:rsidR="00A23030" w:rsidRPr="00A23030">
        <w:rPr>
          <w:rFonts w:ascii="Arial Narrow" w:hAnsi="Arial Narrow"/>
        </w:rPr>
        <w:t>, 2021, 295-296, randnr. 618</w:t>
      </w:r>
      <w:r w:rsidRPr="00FA3D54">
        <w:rPr>
          <w:rFonts w:ascii="Arial Narrow" w:hAnsi="Arial Narrow"/>
        </w:rPr>
        <w:t>).</w:t>
      </w:r>
    </w:p>
  </w:footnote>
  <w:footnote w:id="16">
    <w:p w14:paraId="5DACFCFF" w14:textId="2E2696BD" w:rsidR="00CE727E" w:rsidRDefault="00CE727E">
      <w:pPr>
        <w:pStyle w:val="Voetnoottekst"/>
      </w:pPr>
      <w:r>
        <w:rPr>
          <w:rStyle w:val="Voetnootmarkering"/>
        </w:rPr>
        <w:footnoteRef/>
      </w:r>
      <w:r w:rsidRPr="001873CF">
        <w:t xml:space="preserve"> </w:t>
      </w:r>
      <w:r w:rsidRPr="001873CF">
        <w:rPr>
          <w:rFonts w:ascii="Arial Narrow" w:hAnsi="Arial Narrow"/>
        </w:rPr>
        <w:t>R. JANVIER</w:t>
      </w:r>
      <w:r w:rsidR="001873CF" w:rsidRPr="001873CF">
        <w:rPr>
          <w:rFonts w:ascii="Arial Narrow" w:hAnsi="Arial Narrow"/>
        </w:rPr>
        <w:t xml:space="preserve">, S. PALINCKX, </w:t>
      </w:r>
      <w:r w:rsidRPr="00FA3D54">
        <w:rPr>
          <w:rFonts w:ascii="Arial Narrow" w:hAnsi="Arial Narrow"/>
        </w:rPr>
        <w:t>P. HUMBLET</w:t>
      </w:r>
      <w:r w:rsidR="001873CF">
        <w:rPr>
          <w:rFonts w:ascii="Arial Narrow" w:hAnsi="Arial Narrow"/>
        </w:rPr>
        <w:t xml:space="preserve"> en I. DE WILDE, </w:t>
      </w:r>
      <w:r w:rsidRPr="00FA3D54">
        <w:rPr>
          <w:rFonts w:ascii="Arial Narrow" w:hAnsi="Arial Narrow"/>
        </w:rPr>
        <w:t xml:space="preserve">Collectieve arbeidsverhoudingen in de publieke </w:t>
      </w:r>
      <w:r w:rsidR="00FF3B6C">
        <w:rPr>
          <w:rFonts w:ascii="Arial Narrow" w:hAnsi="Arial Narrow"/>
        </w:rPr>
        <w:t>sector</w:t>
      </w:r>
      <w:r w:rsidRPr="00FA3D54">
        <w:rPr>
          <w:rFonts w:ascii="Arial Narrow" w:hAnsi="Arial Narrow"/>
        </w:rPr>
        <w:t>, Administratieve Rechtsbibliotheek, nr. 4</w:t>
      </w:r>
      <w:r w:rsidR="00FF3B6C">
        <w:rPr>
          <w:rFonts w:ascii="Arial Narrow" w:hAnsi="Arial Narrow"/>
        </w:rPr>
        <w:t>.I.</w:t>
      </w:r>
      <w:r w:rsidRPr="00FA3D54">
        <w:rPr>
          <w:rFonts w:ascii="Arial Narrow" w:hAnsi="Arial Narrow"/>
        </w:rPr>
        <w:t xml:space="preserve">, </w:t>
      </w:r>
      <w:r w:rsidRPr="00FA3D54">
        <w:rPr>
          <w:rFonts w:ascii="Arial Narrow" w:hAnsi="Arial Narrow"/>
          <w:i/>
        </w:rPr>
        <w:t>die Keure</w:t>
      </w:r>
      <w:r w:rsidRPr="00FA3D54">
        <w:rPr>
          <w:rFonts w:ascii="Arial Narrow" w:hAnsi="Arial Narrow"/>
        </w:rPr>
        <w:t xml:space="preserve">, </w:t>
      </w:r>
      <w:r w:rsidR="001F46AE">
        <w:rPr>
          <w:rFonts w:ascii="Arial Narrow" w:hAnsi="Arial Narrow"/>
        </w:rPr>
        <w:t>2021</w:t>
      </w:r>
      <w:r w:rsidRPr="00FA3D54">
        <w:rPr>
          <w:rFonts w:ascii="Arial Narrow" w:hAnsi="Arial Narrow"/>
        </w:rPr>
        <w:t>, </w:t>
      </w:r>
      <w:r w:rsidR="00FF3B6C">
        <w:rPr>
          <w:rFonts w:ascii="Arial Narrow" w:hAnsi="Arial Narrow"/>
        </w:rPr>
        <w:t xml:space="preserve">295-296, randnrs. </w:t>
      </w:r>
      <w:r w:rsidR="001F46AE">
        <w:rPr>
          <w:rFonts w:ascii="Arial Narrow" w:hAnsi="Arial Narrow"/>
        </w:rPr>
        <w:t>618-619</w:t>
      </w:r>
      <w:r w:rsidRPr="00FA3D54">
        <w:rPr>
          <w:rFonts w:ascii="Arial Narrow" w:hAnsi="Arial Narrow"/>
        </w:rPr>
        <w:t>.</w:t>
      </w:r>
    </w:p>
  </w:footnote>
  <w:footnote w:id="17">
    <w:p w14:paraId="28C30F3B" w14:textId="49032F31" w:rsidR="00EB6CD8" w:rsidRDefault="00EB6CD8">
      <w:pPr>
        <w:pStyle w:val="Voetnoottekst"/>
      </w:pPr>
      <w:r>
        <w:rPr>
          <w:rStyle w:val="Voetnootmarkering"/>
        </w:rPr>
        <w:footnoteRef/>
      </w:r>
      <w:r>
        <w:t xml:space="preserve"> </w:t>
      </w:r>
      <w:r w:rsidRPr="00FA3D54">
        <w:rPr>
          <w:rFonts w:ascii="Arial Narrow" w:hAnsi="Arial Narrow"/>
        </w:rPr>
        <w:t>Art</w:t>
      </w:r>
      <w:r w:rsidR="001F7FCD">
        <w:rPr>
          <w:rFonts w:ascii="Arial Narrow" w:hAnsi="Arial Narrow"/>
        </w:rPr>
        <w:t>.</w:t>
      </w:r>
      <w:r w:rsidRPr="00FA3D54">
        <w:rPr>
          <w:rFonts w:ascii="Arial Narrow" w:hAnsi="Arial Narrow"/>
        </w:rPr>
        <w:t xml:space="preserve"> </w:t>
      </w:r>
      <w:r w:rsidR="001F7FCD">
        <w:rPr>
          <w:rFonts w:ascii="Arial Narrow" w:hAnsi="Arial Narrow"/>
        </w:rPr>
        <w:t>196 §1 Decreet Lokaal Bestuur</w:t>
      </w:r>
      <w:r w:rsidRPr="00FA3D54">
        <w:rPr>
          <w:rFonts w:ascii="Arial Narrow" w:hAnsi="Arial Narrow"/>
        </w:rPr>
        <w:t>.</w:t>
      </w:r>
    </w:p>
  </w:footnote>
  <w:footnote w:id="18">
    <w:p w14:paraId="15BE9F25" w14:textId="0280D4E7" w:rsidR="00EB6CD8" w:rsidRDefault="00EB6CD8">
      <w:pPr>
        <w:pStyle w:val="Voetnoottekst"/>
      </w:pPr>
      <w:r>
        <w:rPr>
          <w:rStyle w:val="Voetnootmarkering"/>
        </w:rPr>
        <w:footnoteRef/>
      </w:r>
      <w:r>
        <w:t xml:space="preserve"> </w:t>
      </w:r>
      <w:r w:rsidRPr="00FA3D54">
        <w:rPr>
          <w:rFonts w:ascii="Arial Narrow" w:hAnsi="Arial Narrow"/>
        </w:rPr>
        <w:t>Voor de gemeenschappelijke functies van gemeente en OCMW is er alvast volledige afstemming aangezien die wettelijk opgelegd wordt. Zie art</w:t>
      </w:r>
      <w:r w:rsidR="001F7FCD">
        <w:rPr>
          <w:rFonts w:ascii="Arial Narrow" w:hAnsi="Arial Narrow"/>
        </w:rPr>
        <w:t>.</w:t>
      </w:r>
      <w:r w:rsidRPr="00FA3D54">
        <w:rPr>
          <w:rFonts w:ascii="Arial Narrow" w:hAnsi="Arial Narrow"/>
        </w:rPr>
        <w:t xml:space="preserve"> 1</w:t>
      </w:r>
      <w:r w:rsidR="001F7FCD">
        <w:rPr>
          <w:rFonts w:ascii="Arial Narrow" w:hAnsi="Arial Narrow"/>
        </w:rPr>
        <w:t>86 §2 Decreet Lokaal Bestuur</w:t>
      </w:r>
      <w:r w:rsidRPr="00FA3D54">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FCED" w14:textId="77777777" w:rsidR="0089225C" w:rsidRDefault="00141C42" w:rsidP="003D1334">
    <w:pPr>
      <w:pStyle w:val="Koptekst"/>
    </w:pPr>
    <w:r>
      <w:rPr>
        <w:noProof/>
        <w:lang w:eastAsia="nl-BE"/>
      </w:rPr>
      <w:drawing>
        <wp:anchor distT="0" distB="0" distL="114300" distR="114300" simplePos="0" relativeHeight="251658241" behindDoc="0" locked="0" layoutInCell="1" allowOverlap="1" wp14:anchorId="5DACFCF2" wp14:editId="5DACFCF3">
          <wp:simplePos x="0" y="0"/>
          <wp:positionH relativeFrom="page">
            <wp:posOffset>6192520</wp:posOffset>
          </wp:positionH>
          <wp:positionV relativeFrom="page">
            <wp:posOffset>335915</wp:posOffset>
          </wp:positionV>
          <wp:extent cx="960755" cy="972820"/>
          <wp:effectExtent l="0" t="0" r="0" b="0"/>
          <wp:wrapNone/>
          <wp:docPr id="2" name="Afbeelding 2"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VVSG_lo_RGB-briefpapi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755" cy="97282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FCF1" w14:textId="77777777" w:rsidR="0089225C" w:rsidRDefault="00141C42" w:rsidP="003D1334">
    <w:pPr>
      <w:pStyle w:val="Koptekst"/>
    </w:pPr>
    <w:r>
      <w:rPr>
        <w:noProof/>
        <w:lang w:eastAsia="nl-BE"/>
      </w:rPr>
      <w:drawing>
        <wp:anchor distT="0" distB="0" distL="114300" distR="114300" simplePos="0" relativeHeight="251658242" behindDoc="0" locked="0" layoutInCell="1" allowOverlap="1" wp14:anchorId="5DACFCF4" wp14:editId="5DACFCF5">
          <wp:simplePos x="0" y="0"/>
          <wp:positionH relativeFrom="column">
            <wp:posOffset>10160</wp:posOffset>
          </wp:positionH>
          <wp:positionV relativeFrom="paragraph">
            <wp:posOffset>-64135</wp:posOffset>
          </wp:positionV>
          <wp:extent cx="3080385" cy="504825"/>
          <wp:effectExtent l="0" t="0" r="5715" b="9525"/>
          <wp:wrapNone/>
          <wp:docPr id="3" name="Afbeelding 3" descr="Adressering_ZWART-briefpapier-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dressering_ZWART-briefpapier-01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0385" cy="504825"/>
                  </a:xfrm>
                  <a:prstGeom prst="rect">
                    <a:avLst/>
                  </a:prstGeom>
                  <a:noFill/>
                </pic:spPr>
              </pic:pic>
            </a:graphicData>
          </a:graphic>
        </wp:anchor>
      </w:drawing>
    </w:r>
    <w:r>
      <w:rPr>
        <w:noProof/>
        <w:lang w:eastAsia="nl-BE"/>
      </w:rPr>
      <w:drawing>
        <wp:anchor distT="0" distB="0" distL="114300" distR="114300" simplePos="0" relativeHeight="251658240" behindDoc="0" locked="0" layoutInCell="1" allowOverlap="1" wp14:anchorId="5DACFCF6" wp14:editId="5DACFCF7">
          <wp:simplePos x="0" y="0"/>
          <wp:positionH relativeFrom="page">
            <wp:posOffset>6193155</wp:posOffset>
          </wp:positionH>
          <wp:positionV relativeFrom="page">
            <wp:posOffset>328930</wp:posOffset>
          </wp:positionV>
          <wp:extent cx="961390" cy="972820"/>
          <wp:effectExtent l="0" t="0" r="0" b="0"/>
          <wp:wrapNone/>
          <wp:docPr id="1" name="Afbeelding 1"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VVSG_lo_RGB-briefpapi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390" cy="9728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D1A2DAC"/>
    <w:lvl w:ilvl="0">
      <w:start w:val="1"/>
      <w:numFmt w:val="decimal"/>
      <w:pStyle w:val="Lijstopsomteken"/>
      <w:lvlText w:val="%1."/>
      <w:lvlJc w:val="left"/>
      <w:pPr>
        <w:tabs>
          <w:tab w:val="num" w:pos="360"/>
        </w:tabs>
        <w:ind w:left="360" w:hanging="360"/>
      </w:pPr>
      <w:rPr>
        <w:rFonts w:cs="Times New Roman"/>
      </w:rPr>
    </w:lvl>
  </w:abstractNum>
  <w:abstractNum w:abstractNumId="1" w15:restartNumberingAfterBreak="0">
    <w:nsid w:val="108A3FAA"/>
    <w:multiLevelType w:val="multilevel"/>
    <w:tmpl w:val="6B40169C"/>
    <w:name w:val="VVSG-lijst"/>
    <w:lvl w:ilvl="0">
      <w:start w:val="1"/>
      <w:numFmt w:val="decimal"/>
      <w:lvlText w:val="%1."/>
      <w:lvlJc w:val="left"/>
      <w:pPr>
        <w:ind w:left="360" w:hanging="360"/>
      </w:pPr>
      <w:rPr>
        <w:rFonts w:ascii="Arial" w:hAnsi="Arial" w:cs="Times New Roman" w:hint="default"/>
        <w:caps w:val="0"/>
        <w:strike w:val="0"/>
        <w:dstrike w:val="0"/>
        <w:color w:val="CC0077"/>
        <w:vertAlign w:val="baseline"/>
      </w:rPr>
    </w:lvl>
    <w:lvl w:ilvl="1">
      <w:start w:val="1"/>
      <w:numFmt w:val="lowerLetter"/>
      <w:lvlText w:val="%2."/>
      <w:lvlJc w:val="left"/>
      <w:pPr>
        <w:ind w:left="924" w:hanging="357"/>
      </w:pPr>
      <w:rPr>
        <w:rFonts w:ascii="Arial" w:hAnsi="Arial" w:cs="Times New Roman" w:hint="default"/>
        <w:caps w:val="0"/>
        <w:strike w:val="0"/>
        <w:dstrike w:val="0"/>
        <w:color w:val="CCDD11"/>
        <w:vertAlign w:val="baseline"/>
      </w:rPr>
    </w:lvl>
    <w:lvl w:ilvl="2">
      <w:start w:val="1"/>
      <w:numFmt w:val="lowerRoman"/>
      <w:lvlText w:val="%3."/>
      <w:lvlJc w:val="right"/>
      <w:pPr>
        <w:ind w:left="1491" w:hanging="357"/>
      </w:pPr>
      <w:rPr>
        <w:rFonts w:ascii="Arial" w:hAnsi="Arial" w:cs="Times New Roman" w:hint="default"/>
        <w:caps w:val="0"/>
        <w:strike w:val="0"/>
        <w:dstrike w:val="0"/>
        <w:color w:val="CCDD11"/>
        <w:vertAlign w:val="baseline"/>
      </w:rPr>
    </w:lvl>
    <w:lvl w:ilvl="3">
      <w:start w:val="1"/>
      <w:numFmt w:val="decimal"/>
      <w:lvlText w:val="%4."/>
      <w:lvlJc w:val="left"/>
      <w:pPr>
        <w:ind w:left="2880" w:hanging="360"/>
      </w:pPr>
      <w:rPr>
        <w:rFonts w:ascii="Arial" w:hAnsi="Arial" w:cs="Times New Roman" w:hint="default"/>
        <w:caps w:val="0"/>
        <w:strike w:val="0"/>
        <w:dstrike w:val="0"/>
        <w:color w:val="CCDD11"/>
        <w:vertAlign w:val="baseline"/>
      </w:rPr>
    </w:lvl>
    <w:lvl w:ilvl="4">
      <w:start w:val="1"/>
      <w:numFmt w:val="lowerLetter"/>
      <w:lvlText w:val="%5."/>
      <w:lvlJc w:val="left"/>
      <w:pPr>
        <w:ind w:left="3600" w:hanging="360"/>
      </w:pPr>
      <w:rPr>
        <w:rFonts w:cs="Times New Roman" w:hint="default"/>
        <w:caps w:val="0"/>
        <w:strike w:val="0"/>
        <w:dstrike w:val="0"/>
        <w:color w:val="CCDD11"/>
        <w:vertAlign w:val="baseline"/>
      </w:rPr>
    </w:lvl>
    <w:lvl w:ilvl="5">
      <w:start w:val="1"/>
      <w:numFmt w:val="lowerRoman"/>
      <w:lvlText w:val="%6."/>
      <w:lvlJc w:val="right"/>
      <w:pPr>
        <w:ind w:left="4320" w:hanging="180"/>
      </w:pPr>
      <w:rPr>
        <w:rFonts w:cs="Times New Roman" w:hint="default"/>
        <w:caps w:val="0"/>
        <w:strike w:val="0"/>
        <w:dstrike w:val="0"/>
        <w:color w:val="CCDD11"/>
        <w:vertAlign w:val="baseline"/>
      </w:rPr>
    </w:lvl>
    <w:lvl w:ilvl="6">
      <w:start w:val="1"/>
      <w:numFmt w:val="decimal"/>
      <w:lvlText w:val="%7."/>
      <w:lvlJc w:val="left"/>
      <w:pPr>
        <w:ind w:left="5040" w:hanging="360"/>
      </w:pPr>
      <w:rPr>
        <w:rFonts w:cs="Times New Roman" w:hint="default"/>
        <w:caps w:val="0"/>
        <w:strike w:val="0"/>
        <w:dstrike w:val="0"/>
        <w:color w:val="CCDD11"/>
        <w:vertAlign w:val="baseline"/>
      </w:rPr>
    </w:lvl>
    <w:lvl w:ilvl="7">
      <w:start w:val="1"/>
      <w:numFmt w:val="lowerLetter"/>
      <w:lvlText w:val="%8."/>
      <w:lvlJc w:val="left"/>
      <w:pPr>
        <w:ind w:left="5760" w:hanging="360"/>
      </w:pPr>
      <w:rPr>
        <w:rFonts w:cs="Times New Roman" w:hint="default"/>
        <w:caps w:val="0"/>
        <w:strike w:val="0"/>
        <w:dstrike w:val="0"/>
        <w:color w:val="CCDD11"/>
        <w:vertAlign w:val="baseline"/>
      </w:rPr>
    </w:lvl>
    <w:lvl w:ilvl="8">
      <w:start w:val="1"/>
      <w:numFmt w:val="lowerRoman"/>
      <w:lvlText w:val="%9."/>
      <w:lvlJc w:val="right"/>
      <w:pPr>
        <w:ind w:left="6480" w:hanging="180"/>
      </w:pPr>
      <w:rPr>
        <w:rFonts w:ascii="Arial" w:hAnsi="Arial" w:cs="Times New Roman" w:hint="default"/>
        <w:caps w:val="0"/>
        <w:strike w:val="0"/>
        <w:dstrike w:val="0"/>
        <w:color w:val="CCDD11"/>
        <w:vertAlign w:val="baseline"/>
      </w:rPr>
    </w:lvl>
  </w:abstractNum>
  <w:abstractNum w:abstractNumId="2" w15:restartNumberingAfterBreak="0">
    <w:nsid w:val="19742CD9"/>
    <w:multiLevelType w:val="hybridMultilevel"/>
    <w:tmpl w:val="7584A7D6"/>
    <w:lvl w:ilvl="0" w:tplc="C2106C46">
      <w:start w:val="1"/>
      <w:numFmt w:val="decimal"/>
      <w:pStyle w:val="Lijstnummering"/>
      <w:lvlText w:val="%1."/>
      <w:lvlJc w:val="left"/>
      <w:pPr>
        <w:ind w:left="720" w:hanging="360"/>
      </w:pPr>
      <w:rPr>
        <w:rFonts w:cs="Times New Roman"/>
      </w:rPr>
    </w:lvl>
    <w:lvl w:ilvl="1" w:tplc="08130019">
      <w:start w:val="1"/>
      <w:numFmt w:val="lowerLetter"/>
      <w:lvlText w:val="%2."/>
      <w:lvlJc w:val="left"/>
      <w:pPr>
        <w:ind w:left="1440" w:hanging="360"/>
      </w:pPr>
      <w:rPr>
        <w:rFonts w:cs="Times New Roman"/>
      </w:rPr>
    </w:lvl>
    <w:lvl w:ilvl="2" w:tplc="0813001B">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3" w15:restartNumberingAfterBreak="0">
    <w:nsid w:val="3488032A"/>
    <w:multiLevelType w:val="multilevel"/>
    <w:tmpl w:val="AF749CA4"/>
    <w:styleLink w:val="nummering-"/>
    <w:lvl w:ilvl="0">
      <w:start w:val="1"/>
      <w:numFmt w:val="bullet"/>
      <w:lvlText w:val=""/>
      <w:lvlJc w:val="left"/>
      <w:pPr>
        <w:tabs>
          <w:tab w:val="num" w:pos="284"/>
        </w:tabs>
        <w:ind w:left="284" w:hanging="284"/>
      </w:pPr>
      <w:rPr>
        <w:rFonts w:ascii="Symbol" w:hAnsi="Symbol" w:hint="default"/>
      </w:rPr>
    </w:lvl>
    <w:lvl w:ilvl="1">
      <w:start w:val="1"/>
      <w:numFmt w:val="lowerLetter"/>
      <w:lvlText w:val="%2."/>
      <w:lvlJc w:val="left"/>
      <w:pPr>
        <w:tabs>
          <w:tab w:val="num" w:pos="568"/>
        </w:tabs>
        <w:ind w:left="568" w:hanging="284"/>
      </w:pPr>
      <w:rPr>
        <w:rFonts w:cs="Times New Roman" w:hint="default"/>
        <w:color w:val="585849"/>
      </w:rPr>
    </w:lvl>
    <w:lvl w:ilvl="2">
      <w:start w:val="1"/>
      <w:numFmt w:val="lowerRoman"/>
      <w:lvlText w:val="%3."/>
      <w:lvlJc w:val="right"/>
      <w:pPr>
        <w:tabs>
          <w:tab w:val="num" w:pos="852"/>
        </w:tabs>
        <w:ind w:left="852" w:hanging="284"/>
      </w:pPr>
      <w:rPr>
        <w:rFonts w:cs="Times New Roman" w:hint="default"/>
      </w:rPr>
    </w:lvl>
    <w:lvl w:ilvl="3">
      <w:start w:val="1"/>
      <w:numFmt w:val="decimal"/>
      <w:lvlText w:val="%4."/>
      <w:lvlJc w:val="right"/>
      <w:pPr>
        <w:tabs>
          <w:tab w:val="num" w:pos="1136"/>
        </w:tabs>
        <w:ind w:left="1136" w:hanging="284"/>
      </w:pPr>
      <w:rPr>
        <w:rFonts w:cs="Times New Roman" w:hint="default"/>
      </w:rPr>
    </w:lvl>
    <w:lvl w:ilvl="4">
      <w:start w:val="1"/>
      <w:numFmt w:val="lowerLetter"/>
      <w:lvlText w:val="%5."/>
      <w:lvlJc w:val="right"/>
      <w:pPr>
        <w:tabs>
          <w:tab w:val="num" w:pos="1420"/>
        </w:tabs>
        <w:ind w:left="1420" w:hanging="284"/>
      </w:pPr>
      <w:rPr>
        <w:rFonts w:cs="Times New Roman" w:hint="default"/>
      </w:rPr>
    </w:lvl>
    <w:lvl w:ilvl="5">
      <w:start w:val="1"/>
      <w:numFmt w:val="lowerRoman"/>
      <w:lvlText w:val="%6."/>
      <w:lvlJc w:val="right"/>
      <w:pPr>
        <w:tabs>
          <w:tab w:val="num" w:pos="1704"/>
        </w:tabs>
        <w:ind w:left="1704" w:hanging="284"/>
      </w:pPr>
      <w:rPr>
        <w:rFonts w:cs="Times New Roman" w:hint="default"/>
      </w:rPr>
    </w:lvl>
    <w:lvl w:ilvl="6">
      <w:start w:val="1"/>
      <w:numFmt w:val="decimal"/>
      <w:lvlText w:val="%7."/>
      <w:lvlJc w:val="right"/>
      <w:pPr>
        <w:tabs>
          <w:tab w:val="num" w:pos="1988"/>
        </w:tabs>
        <w:ind w:left="1988" w:hanging="284"/>
      </w:pPr>
      <w:rPr>
        <w:rFonts w:cs="Times New Roman" w:hint="default"/>
      </w:rPr>
    </w:lvl>
    <w:lvl w:ilvl="7">
      <w:start w:val="1"/>
      <w:numFmt w:val="lowerLetter"/>
      <w:lvlText w:val="%8."/>
      <w:lvlJc w:val="right"/>
      <w:pPr>
        <w:tabs>
          <w:tab w:val="num" w:pos="2272"/>
        </w:tabs>
        <w:ind w:left="2272" w:hanging="284"/>
      </w:pPr>
      <w:rPr>
        <w:rFonts w:cs="Times New Roman" w:hint="default"/>
      </w:rPr>
    </w:lvl>
    <w:lvl w:ilvl="8">
      <w:start w:val="1"/>
      <w:numFmt w:val="lowerRoman"/>
      <w:lvlText w:val="%9."/>
      <w:lvlJc w:val="right"/>
      <w:pPr>
        <w:tabs>
          <w:tab w:val="num" w:pos="2556"/>
        </w:tabs>
        <w:ind w:left="2556" w:hanging="284"/>
      </w:pPr>
      <w:rPr>
        <w:rFonts w:cs="Times New Roman" w:hint="default"/>
      </w:rPr>
    </w:lvl>
  </w:abstractNum>
  <w:abstractNum w:abstractNumId="4" w15:restartNumberingAfterBreak="0">
    <w:nsid w:val="3B3F2AB1"/>
    <w:multiLevelType w:val="hybridMultilevel"/>
    <w:tmpl w:val="0AA4AA56"/>
    <w:lvl w:ilvl="0" w:tplc="0C4AE9C6">
      <w:start w:val="1"/>
      <w:numFmt w:val="bullet"/>
      <w:pStyle w:val="Opsomming"/>
      <w:lvlText w:val=""/>
      <w:lvlJc w:val="left"/>
      <w:pPr>
        <w:ind w:left="1429" w:hanging="360"/>
      </w:pPr>
      <w:rPr>
        <w:rFonts w:ascii="Symbol" w:hAnsi="Symbol" w:hint="default"/>
        <w:caps w:val="0"/>
        <w:strike w:val="0"/>
        <w:dstrike w:val="0"/>
        <w:color w:val="CC0077"/>
        <w:spacing w:val="0"/>
        <w:w w:val="100"/>
        <w:position w:val="0"/>
        <w:vertAlign w:val="baseline"/>
      </w:rPr>
    </w:lvl>
    <w:lvl w:ilvl="1" w:tplc="14428E8A">
      <w:start w:val="1"/>
      <w:numFmt w:val="bullet"/>
      <w:lvlText w:val="o"/>
      <w:lvlJc w:val="left"/>
      <w:pPr>
        <w:ind w:left="2149" w:hanging="360"/>
      </w:pPr>
      <w:rPr>
        <w:rFonts w:ascii="Courier New" w:hAnsi="Courier New" w:cs="Courier New" w:hint="default"/>
      </w:rPr>
    </w:lvl>
    <w:lvl w:ilvl="2" w:tplc="B05C6624" w:tentative="1">
      <w:start w:val="1"/>
      <w:numFmt w:val="bullet"/>
      <w:lvlText w:val=""/>
      <w:lvlJc w:val="left"/>
      <w:pPr>
        <w:ind w:left="2869" w:hanging="360"/>
      </w:pPr>
      <w:rPr>
        <w:rFonts w:ascii="Wingdings" w:hAnsi="Wingdings" w:hint="default"/>
      </w:rPr>
    </w:lvl>
    <w:lvl w:ilvl="3" w:tplc="129423F2" w:tentative="1">
      <w:start w:val="1"/>
      <w:numFmt w:val="bullet"/>
      <w:lvlText w:val=""/>
      <w:lvlJc w:val="left"/>
      <w:pPr>
        <w:ind w:left="3589" w:hanging="360"/>
      </w:pPr>
      <w:rPr>
        <w:rFonts w:ascii="Symbol" w:hAnsi="Symbol" w:hint="default"/>
      </w:rPr>
    </w:lvl>
    <w:lvl w:ilvl="4" w:tplc="73A4CC16" w:tentative="1">
      <w:start w:val="1"/>
      <w:numFmt w:val="bullet"/>
      <w:lvlText w:val="o"/>
      <w:lvlJc w:val="left"/>
      <w:pPr>
        <w:ind w:left="4309" w:hanging="360"/>
      </w:pPr>
      <w:rPr>
        <w:rFonts w:ascii="Courier New" w:hAnsi="Courier New" w:cs="Courier New" w:hint="default"/>
      </w:rPr>
    </w:lvl>
    <w:lvl w:ilvl="5" w:tplc="19DE9832" w:tentative="1">
      <w:start w:val="1"/>
      <w:numFmt w:val="bullet"/>
      <w:lvlText w:val=""/>
      <w:lvlJc w:val="left"/>
      <w:pPr>
        <w:ind w:left="5029" w:hanging="360"/>
      </w:pPr>
      <w:rPr>
        <w:rFonts w:ascii="Wingdings" w:hAnsi="Wingdings" w:hint="default"/>
      </w:rPr>
    </w:lvl>
    <w:lvl w:ilvl="6" w:tplc="2DC8C80C" w:tentative="1">
      <w:start w:val="1"/>
      <w:numFmt w:val="bullet"/>
      <w:lvlText w:val=""/>
      <w:lvlJc w:val="left"/>
      <w:pPr>
        <w:ind w:left="5749" w:hanging="360"/>
      </w:pPr>
      <w:rPr>
        <w:rFonts w:ascii="Symbol" w:hAnsi="Symbol" w:hint="default"/>
      </w:rPr>
    </w:lvl>
    <w:lvl w:ilvl="7" w:tplc="FE721862" w:tentative="1">
      <w:start w:val="1"/>
      <w:numFmt w:val="bullet"/>
      <w:lvlText w:val="o"/>
      <w:lvlJc w:val="left"/>
      <w:pPr>
        <w:ind w:left="6469" w:hanging="360"/>
      </w:pPr>
      <w:rPr>
        <w:rFonts w:ascii="Courier New" w:hAnsi="Courier New" w:cs="Courier New" w:hint="default"/>
      </w:rPr>
    </w:lvl>
    <w:lvl w:ilvl="8" w:tplc="EABEFF98" w:tentative="1">
      <w:start w:val="1"/>
      <w:numFmt w:val="bullet"/>
      <w:lvlText w:val=""/>
      <w:lvlJc w:val="left"/>
      <w:pPr>
        <w:ind w:left="7189" w:hanging="360"/>
      </w:pPr>
      <w:rPr>
        <w:rFonts w:ascii="Wingdings" w:hAnsi="Wingdings" w:hint="default"/>
      </w:rPr>
    </w:lvl>
  </w:abstractNum>
  <w:abstractNum w:abstractNumId="5" w15:restartNumberingAfterBreak="0">
    <w:nsid w:val="43654302"/>
    <w:multiLevelType w:val="multilevel"/>
    <w:tmpl w:val="E4A6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F43AA"/>
    <w:multiLevelType w:val="multilevel"/>
    <w:tmpl w:val="D2E677B8"/>
    <w:lvl w:ilvl="0">
      <w:start w:val="1"/>
      <w:numFmt w:val="decimal"/>
      <w:pStyle w:val="Kop1"/>
      <w:suff w:val="space"/>
      <w:lvlText w:val="%1"/>
      <w:lvlJc w:val="right"/>
      <w:rPr>
        <w:rFonts w:cs="Times New Roman" w:hint="default"/>
      </w:rPr>
    </w:lvl>
    <w:lvl w:ilvl="1">
      <w:start w:val="1"/>
      <w:numFmt w:val="decimal"/>
      <w:pStyle w:val="Kop2"/>
      <w:suff w:val="space"/>
      <w:lvlText w:val="%1.%2"/>
      <w:lvlJc w:val="right"/>
      <w:rPr>
        <w:rFonts w:cs="Times New Roman" w:hint="default"/>
      </w:rPr>
    </w:lvl>
    <w:lvl w:ilvl="2">
      <w:start w:val="1"/>
      <w:numFmt w:val="decimal"/>
      <w:pStyle w:val="Kop3"/>
      <w:suff w:val="space"/>
      <w:lvlText w:val="%1.%2.%3"/>
      <w:lvlJc w:val="right"/>
      <w:rPr>
        <w:rFonts w:cs="Times New Roman" w:hint="default"/>
      </w:rPr>
    </w:lvl>
    <w:lvl w:ilvl="3">
      <w:start w:val="1"/>
      <w:numFmt w:val="decimal"/>
      <w:pStyle w:val="Kop4"/>
      <w:suff w:val="space"/>
      <w:lvlText w:val="%1.%2.%3.%4"/>
      <w:lvlJc w:val="right"/>
      <w:rPr>
        <w:rFonts w:cs="Times New Roman" w:hint="default"/>
      </w:rPr>
    </w:lvl>
    <w:lvl w:ilvl="4">
      <w:start w:val="1"/>
      <w:numFmt w:val="none"/>
      <w:pStyle w:val="Kop5"/>
      <w:suff w:val="space"/>
      <w:lvlText w:val=""/>
      <w:lvlJc w:val="right"/>
      <w:rPr>
        <w:rFonts w:cs="Times New Roman" w:hint="default"/>
      </w:rPr>
    </w:lvl>
    <w:lvl w:ilvl="5">
      <w:start w:val="1"/>
      <w:numFmt w:val="none"/>
      <w:pStyle w:val="Kop6"/>
      <w:suff w:val="space"/>
      <w:lvlText w:val=""/>
      <w:lvlJc w:val="right"/>
      <w:rPr>
        <w:rFonts w:cs="Times New Roman" w:hint="default"/>
      </w:rPr>
    </w:lvl>
    <w:lvl w:ilvl="6">
      <w:start w:val="1"/>
      <w:numFmt w:val="none"/>
      <w:pStyle w:val="Kop7"/>
      <w:suff w:val="space"/>
      <w:lvlText w:val=""/>
      <w:lvlJc w:val="right"/>
      <w:rPr>
        <w:rFonts w:cs="Times New Roman" w:hint="default"/>
      </w:rPr>
    </w:lvl>
    <w:lvl w:ilvl="7">
      <w:start w:val="1"/>
      <w:numFmt w:val="none"/>
      <w:pStyle w:val="Kop8"/>
      <w:suff w:val="space"/>
      <w:lvlText w:val=""/>
      <w:lvlJc w:val="right"/>
      <w:rPr>
        <w:rFonts w:cs="Times New Roman" w:hint="default"/>
      </w:rPr>
    </w:lvl>
    <w:lvl w:ilvl="8">
      <w:start w:val="1"/>
      <w:numFmt w:val="none"/>
      <w:pStyle w:val="Kop9"/>
      <w:suff w:val="space"/>
      <w:lvlText w:val=""/>
      <w:lvlJc w:val="right"/>
      <w:rPr>
        <w:rFonts w:cs="Times New Roman" w:hint="default"/>
      </w:rPr>
    </w:lvl>
  </w:abstractNum>
  <w:abstractNum w:abstractNumId="7"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spacing w:val="0"/>
        <w:w w:val="100"/>
        <w:position w:val="0"/>
        <w:vertAlign w:val="baseline"/>
      </w:rPr>
    </w:lvl>
    <w:lvl w:ilvl="1">
      <w:start w:val="1"/>
      <w:numFmt w:val="bullet"/>
      <w:lvlText w:val="-"/>
      <w:lvlJc w:val="left"/>
      <w:pPr>
        <w:ind w:left="568" w:hanging="284"/>
      </w:pPr>
      <w:rPr>
        <w:rFonts w:ascii="Arial" w:hAnsi="Arial" w:hint="default"/>
        <w:color w:val="773388"/>
      </w:rPr>
    </w:lvl>
    <w:lvl w:ilvl="2">
      <w:start w:val="1"/>
      <w:numFmt w:val="bullet"/>
      <w:lvlText w:val=""/>
      <w:lvlJc w:val="left"/>
      <w:pPr>
        <w:ind w:left="852" w:hanging="284"/>
      </w:pPr>
      <w:rPr>
        <w:rFonts w:ascii="Wingdings" w:hAnsi="Wingdings" w:hint="default"/>
        <w:color w:val="773388"/>
        <w:u w:color="773388"/>
      </w:rPr>
    </w:lvl>
    <w:lvl w:ilvl="3">
      <w:start w:val="1"/>
      <w:numFmt w:val="bullet"/>
      <w:lvlText w:val=""/>
      <w:lvlJc w:val="left"/>
      <w:pPr>
        <w:ind w:left="1136" w:hanging="284"/>
      </w:pPr>
      <w:rPr>
        <w:rFonts w:ascii="Symbol" w:hAnsi="Symbol" w:hint="default"/>
        <w:color w:val="773388"/>
        <w:u w:color="773388"/>
      </w:rPr>
    </w:lvl>
    <w:lvl w:ilvl="4">
      <w:start w:val="1"/>
      <w:numFmt w:val="bullet"/>
      <w:lvlText w:val="o"/>
      <w:lvlJc w:val="left"/>
      <w:pPr>
        <w:ind w:left="1420" w:hanging="284"/>
      </w:pPr>
      <w:rPr>
        <w:rFonts w:ascii="Courier New" w:hAnsi="Courier New" w:hint="default"/>
        <w:color w:val="773388"/>
        <w:u w:color="773388"/>
      </w:rPr>
    </w:lvl>
    <w:lvl w:ilvl="5">
      <w:start w:val="1"/>
      <w:numFmt w:val="bullet"/>
      <w:lvlText w:val=""/>
      <w:lvlJc w:val="left"/>
      <w:pPr>
        <w:ind w:left="1704" w:hanging="284"/>
      </w:pPr>
      <w:rPr>
        <w:rFonts w:ascii="Wingdings" w:hAnsi="Wingdings" w:hint="default"/>
        <w:color w:val="773388"/>
        <w:u w:color="773388"/>
      </w:rPr>
    </w:lvl>
    <w:lvl w:ilvl="6">
      <w:start w:val="1"/>
      <w:numFmt w:val="bullet"/>
      <w:lvlText w:val=""/>
      <w:lvlJc w:val="left"/>
      <w:pPr>
        <w:ind w:left="1988" w:hanging="284"/>
      </w:pPr>
      <w:rPr>
        <w:rFonts w:ascii="Symbol" w:hAnsi="Symbol" w:hint="default"/>
        <w:color w:val="773388"/>
        <w:u w:color="773388"/>
      </w:rPr>
    </w:lvl>
    <w:lvl w:ilvl="7">
      <w:start w:val="1"/>
      <w:numFmt w:val="bullet"/>
      <w:lvlText w:val="o"/>
      <w:lvlJc w:val="left"/>
      <w:pPr>
        <w:ind w:left="2272" w:hanging="284"/>
      </w:pPr>
      <w:rPr>
        <w:rFonts w:ascii="Courier New" w:hAnsi="Courier New" w:hint="default"/>
        <w:u w:color="773388"/>
      </w:rPr>
    </w:lvl>
    <w:lvl w:ilvl="8">
      <w:start w:val="1"/>
      <w:numFmt w:val="bullet"/>
      <w:lvlText w:val=""/>
      <w:lvlJc w:val="left"/>
      <w:pPr>
        <w:ind w:left="2556" w:hanging="284"/>
      </w:pPr>
      <w:rPr>
        <w:rFonts w:ascii="Wingdings" w:hAnsi="Wingdings" w:hint="default"/>
        <w:u w:color="773388"/>
      </w:rPr>
    </w:lvl>
  </w:abstractNum>
  <w:num w:numId="1" w16cid:durableId="1159006593">
    <w:abstractNumId w:val="0"/>
  </w:num>
  <w:num w:numId="2" w16cid:durableId="521212946">
    <w:abstractNumId w:val="2"/>
  </w:num>
  <w:num w:numId="3" w16cid:durableId="1303074748">
    <w:abstractNumId w:val="3"/>
  </w:num>
  <w:num w:numId="4" w16cid:durableId="947929435">
    <w:abstractNumId w:val="7"/>
  </w:num>
  <w:num w:numId="5" w16cid:durableId="552815192">
    <w:abstractNumId w:val="6"/>
  </w:num>
  <w:num w:numId="6" w16cid:durableId="1730761938">
    <w:abstractNumId w:val="4"/>
  </w:num>
  <w:num w:numId="7" w16cid:durableId="73139146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42"/>
    <w:rsid w:val="00002B04"/>
    <w:rsid w:val="00004622"/>
    <w:rsid w:val="00011334"/>
    <w:rsid w:val="00020F97"/>
    <w:rsid w:val="00027C2B"/>
    <w:rsid w:val="00032DA4"/>
    <w:rsid w:val="0003407C"/>
    <w:rsid w:val="0003410D"/>
    <w:rsid w:val="00036B0A"/>
    <w:rsid w:val="000402ED"/>
    <w:rsid w:val="0004243B"/>
    <w:rsid w:val="0004341B"/>
    <w:rsid w:val="0004671B"/>
    <w:rsid w:val="0005572A"/>
    <w:rsid w:val="00062381"/>
    <w:rsid w:val="00070ADC"/>
    <w:rsid w:val="00072031"/>
    <w:rsid w:val="0007436C"/>
    <w:rsid w:val="00074570"/>
    <w:rsid w:val="00083270"/>
    <w:rsid w:val="00086BBC"/>
    <w:rsid w:val="00090210"/>
    <w:rsid w:val="00097AB0"/>
    <w:rsid w:val="000A0C6B"/>
    <w:rsid w:val="000A77E9"/>
    <w:rsid w:val="000B617B"/>
    <w:rsid w:val="000D2B07"/>
    <w:rsid w:val="000D4F03"/>
    <w:rsid w:val="000E144F"/>
    <w:rsid w:val="000E22AC"/>
    <w:rsid w:val="000F0F55"/>
    <w:rsid w:val="000F4F7A"/>
    <w:rsid w:val="000F6E23"/>
    <w:rsid w:val="00100643"/>
    <w:rsid w:val="001101F9"/>
    <w:rsid w:val="00115C0E"/>
    <w:rsid w:val="0012162E"/>
    <w:rsid w:val="00125108"/>
    <w:rsid w:val="00125C76"/>
    <w:rsid w:val="00141349"/>
    <w:rsid w:val="001413C4"/>
    <w:rsid w:val="00141C42"/>
    <w:rsid w:val="00155DAA"/>
    <w:rsid w:val="00160285"/>
    <w:rsid w:val="00177D4D"/>
    <w:rsid w:val="0018564B"/>
    <w:rsid w:val="001873CF"/>
    <w:rsid w:val="00191D2E"/>
    <w:rsid w:val="001A200B"/>
    <w:rsid w:val="001A2163"/>
    <w:rsid w:val="001A5C20"/>
    <w:rsid w:val="001A790D"/>
    <w:rsid w:val="001B071F"/>
    <w:rsid w:val="001B1AC8"/>
    <w:rsid w:val="001C506B"/>
    <w:rsid w:val="001C6234"/>
    <w:rsid w:val="001D47DA"/>
    <w:rsid w:val="001D676E"/>
    <w:rsid w:val="001D6A4A"/>
    <w:rsid w:val="001D7AC1"/>
    <w:rsid w:val="001E37B4"/>
    <w:rsid w:val="001E3D2E"/>
    <w:rsid w:val="001E3F27"/>
    <w:rsid w:val="001E5055"/>
    <w:rsid w:val="001E522A"/>
    <w:rsid w:val="001F0B3B"/>
    <w:rsid w:val="001F46AE"/>
    <w:rsid w:val="001F7FCD"/>
    <w:rsid w:val="0020327F"/>
    <w:rsid w:val="0020402A"/>
    <w:rsid w:val="00205B1B"/>
    <w:rsid w:val="00206331"/>
    <w:rsid w:val="00207349"/>
    <w:rsid w:val="00211210"/>
    <w:rsid w:val="00212101"/>
    <w:rsid w:val="0021385B"/>
    <w:rsid w:val="002209DF"/>
    <w:rsid w:val="0023062B"/>
    <w:rsid w:val="0023078A"/>
    <w:rsid w:val="00230D5D"/>
    <w:rsid w:val="002322AA"/>
    <w:rsid w:val="00242D45"/>
    <w:rsid w:val="0025229D"/>
    <w:rsid w:val="00255ABE"/>
    <w:rsid w:val="00255B5D"/>
    <w:rsid w:val="00264199"/>
    <w:rsid w:val="0027719C"/>
    <w:rsid w:val="00281E24"/>
    <w:rsid w:val="00285035"/>
    <w:rsid w:val="00296FF0"/>
    <w:rsid w:val="00297DB8"/>
    <w:rsid w:val="002A54E1"/>
    <w:rsid w:val="002A6467"/>
    <w:rsid w:val="002C2BCA"/>
    <w:rsid w:val="002C41F0"/>
    <w:rsid w:val="002C6CDB"/>
    <w:rsid w:val="002D08EA"/>
    <w:rsid w:val="002D0A8D"/>
    <w:rsid w:val="002D3484"/>
    <w:rsid w:val="002E6583"/>
    <w:rsid w:val="002E6D14"/>
    <w:rsid w:val="002F1673"/>
    <w:rsid w:val="002F1D95"/>
    <w:rsid w:val="002F3BE1"/>
    <w:rsid w:val="002F5F64"/>
    <w:rsid w:val="002F678B"/>
    <w:rsid w:val="002F7E93"/>
    <w:rsid w:val="00305572"/>
    <w:rsid w:val="00307F4F"/>
    <w:rsid w:val="003140EB"/>
    <w:rsid w:val="003152A7"/>
    <w:rsid w:val="00316DAE"/>
    <w:rsid w:val="00317963"/>
    <w:rsid w:val="00322BF6"/>
    <w:rsid w:val="00326568"/>
    <w:rsid w:val="00333170"/>
    <w:rsid w:val="00334C13"/>
    <w:rsid w:val="00336BB1"/>
    <w:rsid w:val="0034010C"/>
    <w:rsid w:val="003459BF"/>
    <w:rsid w:val="00350086"/>
    <w:rsid w:val="00351073"/>
    <w:rsid w:val="00352FC4"/>
    <w:rsid w:val="0036325F"/>
    <w:rsid w:val="00367C2E"/>
    <w:rsid w:val="00377C79"/>
    <w:rsid w:val="00382797"/>
    <w:rsid w:val="00385CA5"/>
    <w:rsid w:val="00390A92"/>
    <w:rsid w:val="00390F47"/>
    <w:rsid w:val="00391BCC"/>
    <w:rsid w:val="00396287"/>
    <w:rsid w:val="003963EC"/>
    <w:rsid w:val="003A10A1"/>
    <w:rsid w:val="003A53D5"/>
    <w:rsid w:val="003B1659"/>
    <w:rsid w:val="003C4E63"/>
    <w:rsid w:val="003D088D"/>
    <w:rsid w:val="003D1334"/>
    <w:rsid w:val="003D3AFE"/>
    <w:rsid w:val="003E251E"/>
    <w:rsid w:val="003E4C9E"/>
    <w:rsid w:val="003F2873"/>
    <w:rsid w:val="003F4D5C"/>
    <w:rsid w:val="004010D9"/>
    <w:rsid w:val="00412099"/>
    <w:rsid w:val="004163D3"/>
    <w:rsid w:val="00422501"/>
    <w:rsid w:val="00424D5D"/>
    <w:rsid w:val="0042595F"/>
    <w:rsid w:val="00426E65"/>
    <w:rsid w:val="00430AF5"/>
    <w:rsid w:val="004326BB"/>
    <w:rsid w:val="00446558"/>
    <w:rsid w:val="00450498"/>
    <w:rsid w:val="004553C9"/>
    <w:rsid w:val="004579C9"/>
    <w:rsid w:val="00460040"/>
    <w:rsid w:val="004701D7"/>
    <w:rsid w:val="004753DA"/>
    <w:rsid w:val="00475BE4"/>
    <w:rsid w:val="00480915"/>
    <w:rsid w:val="00497DB9"/>
    <w:rsid w:val="004A4BF4"/>
    <w:rsid w:val="004A6D28"/>
    <w:rsid w:val="004A6E57"/>
    <w:rsid w:val="004A76A3"/>
    <w:rsid w:val="004A777D"/>
    <w:rsid w:val="004B05C6"/>
    <w:rsid w:val="004B1908"/>
    <w:rsid w:val="004B194B"/>
    <w:rsid w:val="004B4C4D"/>
    <w:rsid w:val="004B6ED9"/>
    <w:rsid w:val="004C096B"/>
    <w:rsid w:val="004D180F"/>
    <w:rsid w:val="004D2D5C"/>
    <w:rsid w:val="004D3C4B"/>
    <w:rsid w:val="004F5C85"/>
    <w:rsid w:val="00503DB4"/>
    <w:rsid w:val="00505021"/>
    <w:rsid w:val="0051204A"/>
    <w:rsid w:val="005170CD"/>
    <w:rsid w:val="0051759A"/>
    <w:rsid w:val="005252D1"/>
    <w:rsid w:val="005260A5"/>
    <w:rsid w:val="00527F5E"/>
    <w:rsid w:val="00537F99"/>
    <w:rsid w:val="0054514C"/>
    <w:rsid w:val="00553A05"/>
    <w:rsid w:val="005615D2"/>
    <w:rsid w:val="00562ACC"/>
    <w:rsid w:val="00565448"/>
    <w:rsid w:val="00567C80"/>
    <w:rsid w:val="00575947"/>
    <w:rsid w:val="005876DC"/>
    <w:rsid w:val="00597531"/>
    <w:rsid w:val="005A159E"/>
    <w:rsid w:val="005A7EDD"/>
    <w:rsid w:val="005B09E3"/>
    <w:rsid w:val="005B14A7"/>
    <w:rsid w:val="005B79BB"/>
    <w:rsid w:val="005B7E02"/>
    <w:rsid w:val="005C5B05"/>
    <w:rsid w:val="005C5D35"/>
    <w:rsid w:val="005C5FB3"/>
    <w:rsid w:val="005C6551"/>
    <w:rsid w:val="005E024E"/>
    <w:rsid w:val="005E5A8D"/>
    <w:rsid w:val="005E5D7A"/>
    <w:rsid w:val="005E7A22"/>
    <w:rsid w:val="005F6303"/>
    <w:rsid w:val="006000A5"/>
    <w:rsid w:val="0060288F"/>
    <w:rsid w:val="006037B8"/>
    <w:rsid w:val="00613C5B"/>
    <w:rsid w:val="0062435F"/>
    <w:rsid w:val="00624CC1"/>
    <w:rsid w:val="00636FBE"/>
    <w:rsid w:val="00640582"/>
    <w:rsid w:val="006416FB"/>
    <w:rsid w:val="00647F78"/>
    <w:rsid w:val="00651F67"/>
    <w:rsid w:val="00652446"/>
    <w:rsid w:val="006540B8"/>
    <w:rsid w:val="00654F98"/>
    <w:rsid w:val="00655DB6"/>
    <w:rsid w:val="00664EE4"/>
    <w:rsid w:val="00674AF1"/>
    <w:rsid w:val="006A351F"/>
    <w:rsid w:val="006A5FE7"/>
    <w:rsid w:val="006A7CA6"/>
    <w:rsid w:val="006B055A"/>
    <w:rsid w:val="006B3298"/>
    <w:rsid w:val="006C62C0"/>
    <w:rsid w:val="006D6D55"/>
    <w:rsid w:val="006E02B3"/>
    <w:rsid w:val="006E3510"/>
    <w:rsid w:val="006E44DB"/>
    <w:rsid w:val="006E7D79"/>
    <w:rsid w:val="006F1403"/>
    <w:rsid w:val="006F1E5C"/>
    <w:rsid w:val="006F425F"/>
    <w:rsid w:val="006F651C"/>
    <w:rsid w:val="006F6E42"/>
    <w:rsid w:val="006F7FFC"/>
    <w:rsid w:val="007007F9"/>
    <w:rsid w:val="007025F3"/>
    <w:rsid w:val="0071720D"/>
    <w:rsid w:val="00717A94"/>
    <w:rsid w:val="00723701"/>
    <w:rsid w:val="00725C92"/>
    <w:rsid w:val="0073454D"/>
    <w:rsid w:val="007404ED"/>
    <w:rsid w:val="00740713"/>
    <w:rsid w:val="00741A6C"/>
    <w:rsid w:val="00743FAE"/>
    <w:rsid w:val="00745CE6"/>
    <w:rsid w:val="00752DB9"/>
    <w:rsid w:val="00754620"/>
    <w:rsid w:val="00761FB3"/>
    <w:rsid w:val="0076622C"/>
    <w:rsid w:val="007778F4"/>
    <w:rsid w:val="00780F8F"/>
    <w:rsid w:val="007A2A83"/>
    <w:rsid w:val="007A2F6B"/>
    <w:rsid w:val="007A6164"/>
    <w:rsid w:val="007B72F0"/>
    <w:rsid w:val="007B7DCB"/>
    <w:rsid w:val="007C53BA"/>
    <w:rsid w:val="007D30FD"/>
    <w:rsid w:val="007D64C0"/>
    <w:rsid w:val="007E1457"/>
    <w:rsid w:val="007E2E9E"/>
    <w:rsid w:val="007E3D9A"/>
    <w:rsid w:val="007F2A9F"/>
    <w:rsid w:val="007F52D6"/>
    <w:rsid w:val="00801707"/>
    <w:rsid w:val="00805690"/>
    <w:rsid w:val="00805DC9"/>
    <w:rsid w:val="00810BAA"/>
    <w:rsid w:val="00816ED8"/>
    <w:rsid w:val="00816F2F"/>
    <w:rsid w:val="00821EAE"/>
    <w:rsid w:val="00834ABE"/>
    <w:rsid w:val="008358EB"/>
    <w:rsid w:val="00836E74"/>
    <w:rsid w:val="00852B37"/>
    <w:rsid w:val="008607D2"/>
    <w:rsid w:val="008623CB"/>
    <w:rsid w:val="00863FDC"/>
    <w:rsid w:val="00864D64"/>
    <w:rsid w:val="008679C6"/>
    <w:rsid w:val="0087778B"/>
    <w:rsid w:val="00877C68"/>
    <w:rsid w:val="00877F4F"/>
    <w:rsid w:val="0089225C"/>
    <w:rsid w:val="00893A35"/>
    <w:rsid w:val="00897C8D"/>
    <w:rsid w:val="008A6083"/>
    <w:rsid w:val="008C4A56"/>
    <w:rsid w:val="008D028F"/>
    <w:rsid w:val="008D188B"/>
    <w:rsid w:val="008E53C9"/>
    <w:rsid w:val="008E5C76"/>
    <w:rsid w:val="00914FF7"/>
    <w:rsid w:val="00916D75"/>
    <w:rsid w:val="00917088"/>
    <w:rsid w:val="00921E9C"/>
    <w:rsid w:val="009221F4"/>
    <w:rsid w:val="00927D21"/>
    <w:rsid w:val="00930051"/>
    <w:rsid w:val="00931B67"/>
    <w:rsid w:val="0094045D"/>
    <w:rsid w:val="00941584"/>
    <w:rsid w:val="00942EF0"/>
    <w:rsid w:val="00946B10"/>
    <w:rsid w:val="0095090A"/>
    <w:rsid w:val="00952405"/>
    <w:rsid w:val="00953135"/>
    <w:rsid w:val="00975239"/>
    <w:rsid w:val="00981C09"/>
    <w:rsid w:val="00985103"/>
    <w:rsid w:val="00987B8D"/>
    <w:rsid w:val="00992A47"/>
    <w:rsid w:val="009A2C86"/>
    <w:rsid w:val="009B7241"/>
    <w:rsid w:val="009B777C"/>
    <w:rsid w:val="009C3C5A"/>
    <w:rsid w:val="009C59B7"/>
    <w:rsid w:val="009D6A35"/>
    <w:rsid w:val="009F2AED"/>
    <w:rsid w:val="009F2DD6"/>
    <w:rsid w:val="009F446E"/>
    <w:rsid w:val="00A143CB"/>
    <w:rsid w:val="00A160EE"/>
    <w:rsid w:val="00A21535"/>
    <w:rsid w:val="00A23030"/>
    <w:rsid w:val="00A238CB"/>
    <w:rsid w:val="00A2571C"/>
    <w:rsid w:val="00A54F42"/>
    <w:rsid w:val="00A55301"/>
    <w:rsid w:val="00A62025"/>
    <w:rsid w:val="00A6305D"/>
    <w:rsid w:val="00A67992"/>
    <w:rsid w:val="00A70C0E"/>
    <w:rsid w:val="00A747E0"/>
    <w:rsid w:val="00A806C1"/>
    <w:rsid w:val="00A8782E"/>
    <w:rsid w:val="00A94741"/>
    <w:rsid w:val="00A95E1B"/>
    <w:rsid w:val="00A97A56"/>
    <w:rsid w:val="00AA379F"/>
    <w:rsid w:val="00AB26DE"/>
    <w:rsid w:val="00AB2C56"/>
    <w:rsid w:val="00AB2D3D"/>
    <w:rsid w:val="00AC1191"/>
    <w:rsid w:val="00AC170A"/>
    <w:rsid w:val="00AC1719"/>
    <w:rsid w:val="00AC5A65"/>
    <w:rsid w:val="00AC729A"/>
    <w:rsid w:val="00AE74C7"/>
    <w:rsid w:val="00AF5B82"/>
    <w:rsid w:val="00AF7641"/>
    <w:rsid w:val="00B0666F"/>
    <w:rsid w:val="00B10EDC"/>
    <w:rsid w:val="00B16424"/>
    <w:rsid w:val="00B17EB5"/>
    <w:rsid w:val="00B203C2"/>
    <w:rsid w:val="00B241ED"/>
    <w:rsid w:val="00B25741"/>
    <w:rsid w:val="00B25FE6"/>
    <w:rsid w:val="00B30A06"/>
    <w:rsid w:val="00B35EE1"/>
    <w:rsid w:val="00B50727"/>
    <w:rsid w:val="00B512BB"/>
    <w:rsid w:val="00B5458B"/>
    <w:rsid w:val="00B64C6F"/>
    <w:rsid w:val="00B71A35"/>
    <w:rsid w:val="00B731B8"/>
    <w:rsid w:val="00BA340F"/>
    <w:rsid w:val="00BB27C9"/>
    <w:rsid w:val="00BB31A3"/>
    <w:rsid w:val="00BB7DCA"/>
    <w:rsid w:val="00BC0F67"/>
    <w:rsid w:val="00BC12C7"/>
    <w:rsid w:val="00BC1780"/>
    <w:rsid w:val="00BD4E71"/>
    <w:rsid w:val="00BD7E19"/>
    <w:rsid w:val="00BF0D91"/>
    <w:rsid w:val="00BF1A6E"/>
    <w:rsid w:val="00BF4FAC"/>
    <w:rsid w:val="00C02FE3"/>
    <w:rsid w:val="00C13F71"/>
    <w:rsid w:val="00C17239"/>
    <w:rsid w:val="00C212EE"/>
    <w:rsid w:val="00C23C75"/>
    <w:rsid w:val="00C26A1D"/>
    <w:rsid w:val="00C3357D"/>
    <w:rsid w:val="00C33734"/>
    <w:rsid w:val="00C35A64"/>
    <w:rsid w:val="00C363BD"/>
    <w:rsid w:val="00C36F24"/>
    <w:rsid w:val="00C45ED9"/>
    <w:rsid w:val="00C4738B"/>
    <w:rsid w:val="00C47CBE"/>
    <w:rsid w:val="00C50AEA"/>
    <w:rsid w:val="00C51576"/>
    <w:rsid w:val="00C647AE"/>
    <w:rsid w:val="00C64AD4"/>
    <w:rsid w:val="00C66378"/>
    <w:rsid w:val="00C76C6D"/>
    <w:rsid w:val="00C80EE0"/>
    <w:rsid w:val="00C85F61"/>
    <w:rsid w:val="00C90C0F"/>
    <w:rsid w:val="00C9693D"/>
    <w:rsid w:val="00CA07F5"/>
    <w:rsid w:val="00CA0D14"/>
    <w:rsid w:val="00CA1555"/>
    <w:rsid w:val="00CA16D0"/>
    <w:rsid w:val="00CA22D7"/>
    <w:rsid w:val="00CA7EC6"/>
    <w:rsid w:val="00CB1C62"/>
    <w:rsid w:val="00CB5516"/>
    <w:rsid w:val="00CC1014"/>
    <w:rsid w:val="00CC1E27"/>
    <w:rsid w:val="00CC5741"/>
    <w:rsid w:val="00CD196A"/>
    <w:rsid w:val="00CE2476"/>
    <w:rsid w:val="00CE42D7"/>
    <w:rsid w:val="00CE6C2E"/>
    <w:rsid w:val="00CE727E"/>
    <w:rsid w:val="00D06BE0"/>
    <w:rsid w:val="00D12A09"/>
    <w:rsid w:val="00D20493"/>
    <w:rsid w:val="00D22A41"/>
    <w:rsid w:val="00D22E2D"/>
    <w:rsid w:val="00D23355"/>
    <w:rsid w:val="00D247AA"/>
    <w:rsid w:val="00D26CE1"/>
    <w:rsid w:val="00D27E2E"/>
    <w:rsid w:val="00D32F45"/>
    <w:rsid w:val="00D46707"/>
    <w:rsid w:val="00D6207D"/>
    <w:rsid w:val="00D663F8"/>
    <w:rsid w:val="00D66D13"/>
    <w:rsid w:val="00D72EB0"/>
    <w:rsid w:val="00D73024"/>
    <w:rsid w:val="00D74170"/>
    <w:rsid w:val="00D80D05"/>
    <w:rsid w:val="00DA0B45"/>
    <w:rsid w:val="00DA4FBC"/>
    <w:rsid w:val="00DA576D"/>
    <w:rsid w:val="00DB328C"/>
    <w:rsid w:val="00DB7E1D"/>
    <w:rsid w:val="00DC387C"/>
    <w:rsid w:val="00DD55C0"/>
    <w:rsid w:val="00DE17EF"/>
    <w:rsid w:val="00DF2064"/>
    <w:rsid w:val="00E0120D"/>
    <w:rsid w:val="00E01A9C"/>
    <w:rsid w:val="00E050CE"/>
    <w:rsid w:val="00E05D5C"/>
    <w:rsid w:val="00E33098"/>
    <w:rsid w:val="00E366FE"/>
    <w:rsid w:val="00E37515"/>
    <w:rsid w:val="00E45F82"/>
    <w:rsid w:val="00E61FCE"/>
    <w:rsid w:val="00E65FFB"/>
    <w:rsid w:val="00E71E8F"/>
    <w:rsid w:val="00E73A28"/>
    <w:rsid w:val="00E77919"/>
    <w:rsid w:val="00E830FC"/>
    <w:rsid w:val="00E87250"/>
    <w:rsid w:val="00E90C24"/>
    <w:rsid w:val="00E90F4D"/>
    <w:rsid w:val="00E9402C"/>
    <w:rsid w:val="00E9404A"/>
    <w:rsid w:val="00EA018D"/>
    <w:rsid w:val="00EA337A"/>
    <w:rsid w:val="00EB12F0"/>
    <w:rsid w:val="00EB309B"/>
    <w:rsid w:val="00EB431D"/>
    <w:rsid w:val="00EB5AB3"/>
    <w:rsid w:val="00EB6CD8"/>
    <w:rsid w:val="00EB6EF6"/>
    <w:rsid w:val="00EC0AFE"/>
    <w:rsid w:val="00EC0FDD"/>
    <w:rsid w:val="00EC22C2"/>
    <w:rsid w:val="00EC2440"/>
    <w:rsid w:val="00EC36E1"/>
    <w:rsid w:val="00EC509F"/>
    <w:rsid w:val="00EC642B"/>
    <w:rsid w:val="00ED08EF"/>
    <w:rsid w:val="00ED2898"/>
    <w:rsid w:val="00ED36F2"/>
    <w:rsid w:val="00ED3E6D"/>
    <w:rsid w:val="00EE01FD"/>
    <w:rsid w:val="00EE08D5"/>
    <w:rsid w:val="00EE22A1"/>
    <w:rsid w:val="00EE581D"/>
    <w:rsid w:val="00EF33FF"/>
    <w:rsid w:val="00EF3776"/>
    <w:rsid w:val="00EF5771"/>
    <w:rsid w:val="00EF7C76"/>
    <w:rsid w:val="00F00E21"/>
    <w:rsid w:val="00F02663"/>
    <w:rsid w:val="00F1122F"/>
    <w:rsid w:val="00F113FD"/>
    <w:rsid w:val="00F12467"/>
    <w:rsid w:val="00F15BD7"/>
    <w:rsid w:val="00F2144E"/>
    <w:rsid w:val="00F22990"/>
    <w:rsid w:val="00F23C83"/>
    <w:rsid w:val="00F33CE9"/>
    <w:rsid w:val="00F41BA9"/>
    <w:rsid w:val="00F44086"/>
    <w:rsid w:val="00F44454"/>
    <w:rsid w:val="00F45A22"/>
    <w:rsid w:val="00F47554"/>
    <w:rsid w:val="00F51905"/>
    <w:rsid w:val="00F5637A"/>
    <w:rsid w:val="00F75580"/>
    <w:rsid w:val="00F76A88"/>
    <w:rsid w:val="00F82BC3"/>
    <w:rsid w:val="00F82EB7"/>
    <w:rsid w:val="00F86991"/>
    <w:rsid w:val="00F91DCA"/>
    <w:rsid w:val="00F93C06"/>
    <w:rsid w:val="00F94676"/>
    <w:rsid w:val="00FA051E"/>
    <w:rsid w:val="00FA2730"/>
    <w:rsid w:val="00FA3D54"/>
    <w:rsid w:val="00FA60CC"/>
    <w:rsid w:val="00FA6D2E"/>
    <w:rsid w:val="00FB0706"/>
    <w:rsid w:val="00FB154D"/>
    <w:rsid w:val="00FB59B0"/>
    <w:rsid w:val="00FB6255"/>
    <w:rsid w:val="00FB6AD7"/>
    <w:rsid w:val="00FC2486"/>
    <w:rsid w:val="00FC330E"/>
    <w:rsid w:val="00FC34F0"/>
    <w:rsid w:val="00FC6B21"/>
    <w:rsid w:val="00FC724D"/>
    <w:rsid w:val="00FC775F"/>
    <w:rsid w:val="00FD0E32"/>
    <w:rsid w:val="00FD47AE"/>
    <w:rsid w:val="00FD5642"/>
    <w:rsid w:val="00FD5FE9"/>
    <w:rsid w:val="00FE222E"/>
    <w:rsid w:val="00FF3B6C"/>
    <w:rsid w:val="00FF733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CFC88"/>
  <w15:docId w15:val="{E27186F5-F4C9-4A21-88F6-CD3A5A8F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semiHidden="1" w:unhideWhenUsed="1"/>
    <w:lsdException w:name="Table Grid 1" w:semiHidden="1" w:unhideWhenUsed="1"/>
    <w:lsdException w:name="Table Grid 2" w:semiHidden="1"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semiHidden="1"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378"/>
    <w:pPr>
      <w:spacing w:line="300" w:lineRule="atLeast"/>
      <w:contextualSpacing/>
    </w:pPr>
    <w:rPr>
      <w:color w:val="585849"/>
      <w:sz w:val="20"/>
      <w:szCs w:val="12"/>
      <w:lang w:eastAsia="nl-NL"/>
    </w:rPr>
  </w:style>
  <w:style w:type="paragraph" w:styleId="Kop1">
    <w:name w:val="heading 1"/>
    <w:basedOn w:val="Standaard"/>
    <w:next w:val="Standaard"/>
    <w:link w:val="Kop1Char"/>
    <w:uiPriority w:val="99"/>
    <w:qFormat/>
    <w:rsid w:val="00C66378"/>
    <w:pPr>
      <w:keepNext/>
      <w:keepLines/>
      <w:numPr>
        <w:numId w:val="5"/>
      </w:numPr>
      <w:spacing w:before="480" w:after="120"/>
      <w:outlineLvl w:val="0"/>
    </w:pPr>
    <w:rPr>
      <w:b/>
      <w:bCs/>
      <w:sz w:val="26"/>
      <w:szCs w:val="28"/>
    </w:rPr>
  </w:style>
  <w:style w:type="paragraph" w:styleId="Kop2">
    <w:name w:val="heading 2"/>
    <w:basedOn w:val="Standaard"/>
    <w:next w:val="Standaard"/>
    <w:link w:val="Kop2Char"/>
    <w:uiPriority w:val="99"/>
    <w:qFormat/>
    <w:rsid w:val="00C66378"/>
    <w:pPr>
      <w:keepNext/>
      <w:keepLines/>
      <w:numPr>
        <w:ilvl w:val="1"/>
        <w:numId w:val="5"/>
      </w:numPr>
      <w:spacing w:before="200"/>
      <w:outlineLvl w:val="1"/>
    </w:pPr>
    <w:rPr>
      <w:b/>
      <w:bCs/>
      <w:sz w:val="24"/>
      <w:szCs w:val="26"/>
    </w:rPr>
  </w:style>
  <w:style w:type="paragraph" w:styleId="Kop3">
    <w:name w:val="heading 3"/>
    <w:basedOn w:val="Standaard"/>
    <w:next w:val="Standaard"/>
    <w:link w:val="Kop3Char"/>
    <w:uiPriority w:val="99"/>
    <w:qFormat/>
    <w:rsid w:val="00C66378"/>
    <w:pPr>
      <w:keepNext/>
      <w:keepLines/>
      <w:numPr>
        <w:ilvl w:val="2"/>
        <w:numId w:val="5"/>
      </w:numPr>
      <w:spacing w:before="200"/>
      <w:outlineLvl w:val="2"/>
    </w:pPr>
    <w:rPr>
      <w:b/>
      <w:bCs/>
      <w:sz w:val="22"/>
    </w:rPr>
  </w:style>
  <w:style w:type="paragraph" w:styleId="Kop4">
    <w:name w:val="heading 4"/>
    <w:basedOn w:val="Standaard"/>
    <w:next w:val="Standaard"/>
    <w:link w:val="Kop4Char"/>
    <w:uiPriority w:val="99"/>
    <w:qFormat/>
    <w:rsid w:val="00C66378"/>
    <w:pPr>
      <w:keepNext/>
      <w:keepLines/>
      <w:numPr>
        <w:ilvl w:val="3"/>
        <w:numId w:val="5"/>
      </w:numPr>
      <w:spacing w:before="200"/>
      <w:outlineLvl w:val="3"/>
    </w:pPr>
    <w:rPr>
      <w:b/>
      <w:bCs/>
      <w:iCs/>
    </w:rPr>
  </w:style>
  <w:style w:type="paragraph" w:styleId="Kop5">
    <w:name w:val="heading 5"/>
    <w:basedOn w:val="Standaard"/>
    <w:next w:val="Standaard"/>
    <w:link w:val="Kop5Char"/>
    <w:uiPriority w:val="99"/>
    <w:qFormat/>
    <w:rsid w:val="007E2E9E"/>
    <w:pPr>
      <w:keepNext/>
      <w:keepLines/>
      <w:numPr>
        <w:ilvl w:val="4"/>
        <w:numId w:val="5"/>
      </w:numPr>
      <w:spacing w:before="200"/>
      <w:outlineLvl w:val="4"/>
    </w:pPr>
    <w:rPr>
      <w:b/>
    </w:rPr>
  </w:style>
  <w:style w:type="paragraph" w:styleId="Kop6">
    <w:name w:val="heading 6"/>
    <w:basedOn w:val="Standaard"/>
    <w:next w:val="Standaard"/>
    <w:link w:val="Kop6Char"/>
    <w:uiPriority w:val="99"/>
    <w:qFormat/>
    <w:rsid w:val="007E2E9E"/>
    <w:pPr>
      <w:keepNext/>
      <w:keepLines/>
      <w:numPr>
        <w:ilvl w:val="5"/>
        <w:numId w:val="5"/>
      </w:numPr>
      <w:spacing w:before="200"/>
      <w:outlineLvl w:val="5"/>
    </w:pPr>
    <w:rPr>
      <w:b/>
      <w:iCs/>
    </w:rPr>
  </w:style>
  <w:style w:type="paragraph" w:styleId="Kop7">
    <w:name w:val="heading 7"/>
    <w:basedOn w:val="Standaard"/>
    <w:next w:val="Standaard"/>
    <w:link w:val="Kop7Char"/>
    <w:uiPriority w:val="99"/>
    <w:qFormat/>
    <w:rsid w:val="007E2E9E"/>
    <w:pPr>
      <w:keepNext/>
      <w:keepLines/>
      <w:numPr>
        <w:ilvl w:val="6"/>
        <w:numId w:val="5"/>
      </w:numPr>
      <w:spacing w:before="200"/>
      <w:outlineLvl w:val="6"/>
    </w:pPr>
    <w:rPr>
      <w:b/>
      <w:iCs/>
    </w:rPr>
  </w:style>
  <w:style w:type="paragraph" w:styleId="Kop8">
    <w:name w:val="heading 8"/>
    <w:basedOn w:val="Standaard"/>
    <w:next w:val="Standaard"/>
    <w:link w:val="Kop8Char"/>
    <w:uiPriority w:val="99"/>
    <w:qFormat/>
    <w:rsid w:val="007E2E9E"/>
    <w:pPr>
      <w:keepNext/>
      <w:keepLines/>
      <w:numPr>
        <w:ilvl w:val="7"/>
        <w:numId w:val="5"/>
      </w:numPr>
      <w:spacing w:before="200"/>
      <w:outlineLvl w:val="7"/>
    </w:pPr>
    <w:rPr>
      <w:b/>
      <w:szCs w:val="20"/>
    </w:rPr>
  </w:style>
  <w:style w:type="paragraph" w:styleId="Kop9">
    <w:name w:val="heading 9"/>
    <w:basedOn w:val="Standaard"/>
    <w:next w:val="Standaard"/>
    <w:link w:val="Kop9Char"/>
    <w:uiPriority w:val="99"/>
    <w:qFormat/>
    <w:rsid w:val="007E2E9E"/>
    <w:pPr>
      <w:keepNext/>
      <w:keepLines/>
      <w:numPr>
        <w:ilvl w:val="8"/>
        <w:numId w:val="5"/>
      </w:numPr>
      <w:spacing w:before="200"/>
      <w:outlineLvl w:val="8"/>
    </w:pPr>
    <w:rPr>
      <w:b/>
      <w:iCs/>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76A88"/>
    <w:rPr>
      <w:b/>
      <w:bCs/>
      <w:color w:val="585849"/>
      <w:sz w:val="26"/>
      <w:szCs w:val="28"/>
      <w:lang w:eastAsia="nl-NL"/>
    </w:rPr>
  </w:style>
  <w:style w:type="character" w:customStyle="1" w:styleId="Kop2Char">
    <w:name w:val="Kop 2 Char"/>
    <w:basedOn w:val="Standaardalinea-lettertype"/>
    <w:link w:val="Kop2"/>
    <w:uiPriority w:val="99"/>
    <w:locked/>
    <w:rsid w:val="00F76A88"/>
    <w:rPr>
      <w:b/>
      <w:bCs/>
      <w:color w:val="585849"/>
      <w:sz w:val="24"/>
      <w:szCs w:val="26"/>
      <w:lang w:eastAsia="nl-NL"/>
    </w:rPr>
  </w:style>
  <w:style w:type="character" w:customStyle="1" w:styleId="Kop3Char">
    <w:name w:val="Kop 3 Char"/>
    <w:basedOn w:val="Standaardalinea-lettertype"/>
    <w:link w:val="Kop3"/>
    <w:uiPriority w:val="99"/>
    <w:locked/>
    <w:rsid w:val="00F76A88"/>
    <w:rPr>
      <w:b/>
      <w:bCs/>
      <w:color w:val="585849"/>
      <w:szCs w:val="12"/>
      <w:lang w:eastAsia="nl-NL"/>
    </w:rPr>
  </w:style>
  <w:style w:type="character" w:customStyle="1" w:styleId="Kop4Char">
    <w:name w:val="Kop 4 Char"/>
    <w:basedOn w:val="Standaardalinea-lettertype"/>
    <w:link w:val="Kop4"/>
    <w:uiPriority w:val="99"/>
    <w:locked/>
    <w:rsid w:val="00F76A88"/>
    <w:rPr>
      <w:b/>
      <w:bCs/>
      <w:iCs/>
      <w:color w:val="585849"/>
      <w:sz w:val="20"/>
      <w:szCs w:val="12"/>
      <w:lang w:eastAsia="nl-NL"/>
    </w:rPr>
  </w:style>
  <w:style w:type="character" w:customStyle="1" w:styleId="Kop5Char">
    <w:name w:val="Kop 5 Char"/>
    <w:basedOn w:val="Standaardalinea-lettertype"/>
    <w:link w:val="Kop5"/>
    <w:uiPriority w:val="99"/>
    <w:locked/>
    <w:rsid w:val="00F76A88"/>
    <w:rPr>
      <w:b/>
      <w:color w:val="585849"/>
      <w:sz w:val="20"/>
      <w:szCs w:val="12"/>
      <w:lang w:eastAsia="nl-NL"/>
    </w:rPr>
  </w:style>
  <w:style w:type="character" w:customStyle="1" w:styleId="Kop6Char">
    <w:name w:val="Kop 6 Char"/>
    <w:basedOn w:val="Standaardalinea-lettertype"/>
    <w:link w:val="Kop6"/>
    <w:uiPriority w:val="99"/>
    <w:locked/>
    <w:rsid w:val="00F76A88"/>
    <w:rPr>
      <w:b/>
      <w:iCs/>
      <w:color w:val="585849"/>
      <w:sz w:val="20"/>
      <w:szCs w:val="12"/>
      <w:lang w:eastAsia="nl-NL"/>
    </w:rPr>
  </w:style>
  <w:style w:type="character" w:customStyle="1" w:styleId="Kop7Char">
    <w:name w:val="Kop 7 Char"/>
    <w:basedOn w:val="Standaardalinea-lettertype"/>
    <w:link w:val="Kop7"/>
    <w:uiPriority w:val="99"/>
    <w:locked/>
    <w:rsid w:val="00F76A88"/>
    <w:rPr>
      <w:b/>
      <w:iCs/>
      <w:color w:val="585849"/>
      <w:sz w:val="20"/>
      <w:szCs w:val="12"/>
      <w:lang w:eastAsia="nl-NL"/>
    </w:rPr>
  </w:style>
  <w:style w:type="character" w:customStyle="1" w:styleId="Kop8Char">
    <w:name w:val="Kop 8 Char"/>
    <w:basedOn w:val="Standaardalinea-lettertype"/>
    <w:link w:val="Kop8"/>
    <w:uiPriority w:val="99"/>
    <w:locked/>
    <w:rsid w:val="00F76A88"/>
    <w:rPr>
      <w:b/>
      <w:color w:val="585849"/>
      <w:sz w:val="20"/>
      <w:szCs w:val="20"/>
      <w:lang w:eastAsia="nl-NL"/>
    </w:rPr>
  </w:style>
  <w:style w:type="character" w:customStyle="1" w:styleId="Kop9Char">
    <w:name w:val="Kop 9 Char"/>
    <w:basedOn w:val="Standaardalinea-lettertype"/>
    <w:link w:val="Kop9"/>
    <w:uiPriority w:val="99"/>
    <w:locked/>
    <w:rsid w:val="00F76A88"/>
    <w:rPr>
      <w:b/>
      <w:iCs/>
      <w:color w:val="585849"/>
      <w:sz w:val="20"/>
      <w:szCs w:val="20"/>
      <w:lang w:eastAsia="nl-NL"/>
    </w:rPr>
  </w:style>
  <w:style w:type="paragraph" w:customStyle="1" w:styleId="Opsomming">
    <w:name w:val="Opsomming"/>
    <w:basedOn w:val="Standaard"/>
    <w:link w:val="OpsommingChar"/>
    <w:qFormat/>
    <w:rsid w:val="00EA018D"/>
    <w:pPr>
      <w:numPr>
        <w:numId w:val="6"/>
      </w:numPr>
      <w:tabs>
        <w:tab w:val="left" w:pos="284"/>
      </w:tabs>
    </w:pPr>
  </w:style>
  <w:style w:type="paragraph" w:styleId="Lijstnummering">
    <w:name w:val="List Number"/>
    <w:basedOn w:val="Standaard"/>
    <w:link w:val="LijstnummeringChar"/>
    <w:uiPriority w:val="99"/>
    <w:rsid w:val="00EA018D"/>
    <w:pPr>
      <w:numPr>
        <w:numId w:val="2"/>
      </w:numPr>
    </w:pPr>
  </w:style>
  <w:style w:type="paragraph" w:styleId="Koptekst">
    <w:name w:val="header"/>
    <w:basedOn w:val="Standaard"/>
    <w:link w:val="KoptekstChar"/>
    <w:uiPriority w:val="99"/>
    <w:rsid w:val="00206331"/>
    <w:pPr>
      <w:tabs>
        <w:tab w:val="center" w:pos="4536"/>
        <w:tab w:val="right" w:pos="9072"/>
      </w:tabs>
    </w:pPr>
  </w:style>
  <w:style w:type="character" w:customStyle="1" w:styleId="KoptekstChar">
    <w:name w:val="Koptekst Char"/>
    <w:basedOn w:val="Standaardalinea-lettertype"/>
    <w:link w:val="Koptekst"/>
    <w:uiPriority w:val="99"/>
    <w:locked/>
    <w:rsid w:val="00206331"/>
    <w:rPr>
      <w:rFonts w:cs="Times New Roman"/>
      <w:sz w:val="24"/>
      <w:szCs w:val="24"/>
      <w:lang w:val="nl-NL" w:eastAsia="nl-NL"/>
    </w:rPr>
  </w:style>
  <w:style w:type="paragraph" w:styleId="Ballontekst">
    <w:name w:val="Balloon Text"/>
    <w:basedOn w:val="Standaard"/>
    <w:next w:val="Standaard"/>
    <w:link w:val="BallontekstChar"/>
    <w:uiPriority w:val="99"/>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uiPriority w:val="99"/>
    <w:locked/>
    <w:rsid w:val="00651F67"/>
    <w:rPr>
      <w:rFonts w:cs="Tahoma"/>
      <w:b/>
      <w:color w:val="585849"/>
      <w:sz w:val="14"/>
      <w:szCs w:val="14"/>
      <w:lang w:eastAsia="nl-NL"/>
    </w:rPr>
  </w:style>
  <w:style w:type="paragraph" w:styleId="Titel">
    <w:name w:val="Title"/>
    <w:basedOn w:val="Standaard"/>
    <w:next w:val="Beschrijving"/>
    <w:link w:val="TitelChar"/>
    <w:qFormat/>
    <w:rsid w:val="007E2E9E"/>
    <w:pPr>
      <w:spacing w:after="300" w:line="240" w:lineRule="auto"/>
    </w:pPr>
    <w:rPr>
      <w:spacing w:val="5"/>
      <w:kern w:val="28"/>
      <w:sz w:val="36"/>
      <w:szCs w:val="52"/>
    </w:rPr>
  </w:style>
  <w:style w:type="character" w:customStyle="1" w:styleId="TitelChar">
    <w:name w:val="Titel Char"/>
    <w:basedOn w:val="Standaardalinea-lettertype"/>
    <w:link w:val="Titel"/>
    <w:uiPriority w:val="99"/>
    <w:locked/>
    <w:rsid w:val="00EC36E1"/>
    <w:rPr>
      <w:rFonts w:ascii="Arial" w:hAnsi="Arial" w:cs="Times New Roman"/>
      <w:color w:val="585849"/>
      <w:spacing w:val="5"/>
      <w:kern w:val="28"/>
      <w:sz w:val="52"/>
      <w:szCs w:val="52"/>
      <w:lang w:eastAsia="nl-NL"/>
    </w:rPr>
  </w:style>
  <w:style w:type="character" w:styleId="Nadruk">
    <w:name w:val="Emphasis"/>
    <w:basedOn w:val="Standaardalinea-lettertype"/>
    <w:uiPriority w:val="99"/>
    <w:qFormat/>
    <w:rsid w:val="007E2E9E"/>
    <w:rPr>
      <w:rFonts w:cs="Times New Roman"/>
      <w:i/>
      <w:iCs/>
      <w:color w:val="773388"/>
    </w:rPr>
  </w:style>
  <w:style w:type="paragraph" w:styleId="Ondertitel">
    <w:name w:val="Subtitle"/>
    <w:basedOn w:val="Standaard"/>
    <w:next w:val="Standaard"/>
    <w:link w:val="OndertitelChar"/>
    <w:uiPriority w:val="99"/>
    <w:qFormat/>
    <w:rsid w:val="007E2E9E"/>
    <w:pPr>
      <w:numPr>
        <w:ilvl w:val="1"/>
      </w:numPr>
      <w:spacing w:before="120"/>
    </w:pPr>
    <w:rPr>
      <w:b/>
      <w:iCs/>
      <w:color w:val="CC0077"/>
      <w:spacing w:val="15"/>
      <w:sz w:val="24"/>
      <w:u w:val="single"/>
    </w:rPr>
  </w:style>
  <w:style w:type="character" w:customStyle="1" w:styleId="OndertitelChar">
    <w:name w:val="Ondertitel Char"/>
    <w:basedOn w:val="Standaardalinea-lettertype"/>
    <w:link w:val="Ondertitel"/>
    <w:uiPriority w:val="99"/>
    <w:locked/>
    <w:rsid w:val="001C6234"/>
    <w:rPr>
      <w:rFonts w:ascii="Arial" w:hAnsi="Arial" w:cs="Times New Roman"/>
      <w:b/>
      <w:iCs/>
      <w:color w:val="CC0077"/>
      <w:spacing w:val="15"/>
      <w:sz w:val="12"/>
      <w:szCs w:val="12"/>
      <w:u w:val="single"/>
      <w:lang w:eastAsia="nl-NL"/>
    </w:rPr>
  </w:style>
  <w:style w:type="character" w:styleId="Subtielebenadrukking">
    <w:name w:val="Subtle Emphasis"/>
    <w:basedOn w:val="Standaardalinea-lettertype"/>
    <w:uiPriority w:val="99"/>
    <w:qFormat/>
    <w:rsid w:val="007E2E9E"/>
    <w:rPr>
      <w:rFonts w:cs="Times New Roman"/>
      <w:i/>
      <w:iCs/>
      <w:color w:val="585849"/>
    </w:rPr>
  </w:style>
  <w:style w:type="character" w:styleId="Intensievebenadrukking">
    <w:name w:val="Intense Emphasis"/>
    <w:basedOn w:val="Standaardalinea-lettertype"/>
    <w:uiPriority w:val="99"/>
    <w:qFormat/>
    <w:rsid w:val="007E2E9E"/>
    <w:rPr>
      <w:rFonts w:cs="Times New Roman"/>
      <w:b/>
      <w:bCs/>
      <w:i/>
      <w:iCs/>
      <w:color w:val="CC0077"/>
    </w:rPr>
  </w:style>
  <w:style w:type="paragraph" w:styleId="Citaat">
    <w:name w:val="Quote"/>
    <w:basedOn w:val="Standaard"/>
    <w:next w:val="Standaard"/>
    <w:link w:val="CitaatChar"/>
    <w:uiPriority w:val="99"/>
    <w:qFormat/>
    <w:rsid w:val="007E2E9E"/>
    <w:rPr>
      <w:i/>
      <w:iCs/>
    </w:rPr>
  </w:style>
  <w:style w:type="character" w:customStyle="1" w:styleId="CitaatChar">
    <w:name w:val="Citaat Char"/>
    <w:basedOn w:val="Standaardalinea-lettertype"/>
    <w:link w:val="Citaat"/>
    <w:uiPriority w:val="99"/>
    <w:locked/>
    <w:rsid w:val="00E0120D"/>
    <w:rPr>
      <w:rFonts w:cs="Times New Roman"/>
      <w:i/>
      <w:iCs/>
      <w:color w:val="585849"/>
      <w:sz w:val="12"/>
      <w:szCs w:val="12"/>
      <w:lang w:eastAsia="nl-NL"/>
    </w:rPr>
  </w:style>
  <w:style w:type="paragraph" w:styleId="Duidelijkcitaat">
    <w:name w:val="Intense Quote"/>
    <w:basedOn w:val="Standaard"/>
    <w:next w:val="Standaard"/>
    <w:link w:val="DuidelijkcitaatChar"/>
    <w:uiPriority w:val="99"/>
    <w:qFormat/>
    <w:rsid w:val="007E2E9E"/>
    <w:pPr>
      <w:pBdr>
        <w:bottom w:val="single" w:sz="4" w:space="4" w:color="CC0077"/>
      </w:pBdr>
      <w:spacing w:before="200"/>
      <w:ind w:left="936" w:right="936"/>
    </w:pPr>
    <w:rPr>
      <w:b/>
      <w:bCs/>
      <w:i/>
      <w:iCs/>
      <w:color w:val="CC0077"/>
    </w:rPr>
  </w:style>
  <w:style w:type="character" w:customStyle="1" w:styleId="DuidelijkcitaatChar">
    <w:name w:val="Duidelijk citaat Char"/>
    <w:basedOn w:val="Standaardalinea-lettertype"/>
    <w:link w:val="Duidelijkcitaat"/>
    <w:uiPriority w:val="99"/>
    <w:locked/>
    <w:rsid w:val="001C6234"/>
    <w:rPr>
      <w:rFonts w:cs="Times New Roman"/>
      <w:b/>
      <w:bCs/>
      <w:i/>
      <w:iCs/>
      <w:color w:val="CC0077"/>
      <w:sz w:val="12"/>
      <w:szCs w:val="12"/>
      <w:lang w:eastAsia="nl-NL"/>
    </w:rPr>
  </w:style>
  <w:style w:type="character" w:styleId="Subtieleverwijzing">
    <w:name w:val="Subtle Reference"/>
    <w:basedOn w:val="Standaardalinea-lettertype"/>
    <w:uiPriority w:val="99"/>
    <w:qFormat/>
    <w:rsid w:val="007E2E9E"/>
    <w:rPr>
      <w:rFonts w:cs="Times New Roman"/>
      <w:smallCaps/>
      <w:color w:val="773388"/>
      <w:u w:val="single"/>
    </w:rPr>
  </w:style>
  <w:style w:type="character" w:styleId="Intensieveverwijzing">
    <w:name w:val="Intense Reference"/>
    <w:basedOn w:val="Standaardalinea-lettertype"/>
    <w:uiPriority w:val="99"/>
    <w:qFormat/>
    <w:rsid w:val="007E2E9E"/>
    <w:rPr>
      <w:rFonts w:cs="Times New Roman"/>
      <w:b/>
      <w:bCs/>
      <w:smallCaps/>
      <w:color w:val="773388"/>
      <w:spacing w:val="5"/>
      <w:u w:val="single"/>
    </w:rPr>
  </w:style>
  <w:style w:type="paragraph" w:customStyle="1" w:styleId="Postadres">
    <w:name w:val="Postadres"/>
    <w:basedOn w:val="Standaard"/>
    <w:link w:val="PostadresChar"/>
    <w:uiPriority w:val="99"/>
    <w:rsid w:val="007E2E9E"/>
    <w:pPr>
      <w:spacing w:line="240" w:lineRule="atLeast"/>
    </w:pPr>
  </w:style>
  <w:style w:type="paragraph" w:customStyle="1" w:styleId="Bijtitel">
    <w:name w:val="Bijtitel"/>
    <w:basedOn w:val="Standaard"/>
    <w:next w:val="Standaard"/>
    <w:uiPriority w:val="99"/>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uiPriority w:val="99"/>
    <w:rsid w:val="00EC0FDD"/>
    <w:rPr>
      <w:sz w:val="20"/>
      <w:szCs w:val="20"/>
    </w:rPr>
    <w:tblPr>
      <w:tblBorders>
        <w:top w:val="single" w:sz="4" w:space="0" w:color="AAAA99"/>
        <w:left w:val="single" w:sz="4" w:space="0" w:color="AAAA99"/>
        <w:bottom w:val="single" w:sz="4" w:space="0" w:color="AAAA99"/>
        <w:right w:val="single" w:sz="4" w:space="0" w:color="AAAA99"/>
        <w:insideH w:val="single" w:sz="4" w:space="0" w:color="AAAA99"/>
        <w:insideV w:val="single" w:sz="4" w:space="0" w:color="AAAA99"/>
      </w:tblBorders>
    </w:tblPr>
  </w:style>
  <w:style w:type="character" w:customStyle="1" w:styleId="LijstnummeringChar">
    <w:name w:val="Lijstnummering Char"/>
    <w:basedOn w:val="Standaardalinea-lettertype"/>
    <w:link w:val="Lijstnummering"/>
    <w:uiPriority w:val="99"/>
    <w:locked/>
    <w:rsid w:val="00A95E1B"/>
    <w:rPr>
      <w:color w:val="585849"/>
      <w:sz w:val="20"/>
      <w:szCs w:val="12"/>
      <w:lang w:eastAsia="nl-NL"/>
    </w:rPr>
  </w:style>
  <w:style w:type="character" w:styleId="Tekstvantijdelijkeaanduiding">
    <w:name w:val="Placeholder Text"/>
    <w:basedOn w:val="Standaardalinea-lettertype"/>
    <w:uiPriority w:val="99"/>
    <w:semiHidden/>
    <w:rsid w:val="00255B5D"/>
    <w:rPr>
      <w:rFonts w:cs="Times New Roman"/>
      <w:color w:val="808080"/>
    </w:rPr>
  </w:style>
  <w:style w:type="character" w:customStyle="1" w:styleId="PostadresChar">
    <w:name w:val="Postadres Char"/>
    <w:basedOn w:val="Standaardalinea-lettertype"/>
    <w:link w:val="Postadres"/>
    <w:uiPriority w:val="99"/>
    <w:locked/>
    <w:rsid w:val="00BC12C7"/>
    <w:rPr>
      <w:rFonts w:cs="Times New Roman"/>
      <w:color w:val="585849"/>
      <w:sz w:val="12"/>
      <w:szCs w:val="12"/>
      <w:lang w:eastAsia="nl-NL"/>
    </w:rPr>
  </w:style>
  <w:style w:type="paragraph" w:customStyle="1" w:styleId="Over">
    <w:name w:val="Over"/>
    <w:basedOn w:val="Standaard"/>
    <w:link w:val="OverChar"/>
    <w:uiPriority w:val="99"/>
    <w:rsid w:val="007E2E9E"/>
    <w:pPr>
      <w:spacing w:after="180" w:line="240" w:lineRule="atLeast"/>
      <w:jc w:val="right"/>
    </w:pPr>
    <w:rPr>
      <w:b/>
      <w:sz w:val="24"/>
    </w:rPr>
  </w:style>
  <w:style w:type="character" w:customStyle="1" w:styleId="OverChar">
    <w:name w:val="Over Char"/>
    <w:basedOn w:val="Standaardalinea-lettertype"/>
    <w:link w:val="Over"/>
    <w:uiPriority w:val="99"/>
    <w:locked/>
    <w:rsid w:val="000F0F55"/>
    <w:rPr>
      <w:rFonts w:cs="Times New Roman"/>
      <w:b/>
      <w:color w:val="585849"/>
      <w:sz w:val="12"/>
      <w:szCs w:val="12"/>
      <w:lang w:eastAsia="nl-NL"/>
    </w:rPr>
  </w:style>
  <w:style w:type="character" w:styleId="Hyperlink">
    <w:name w:val="Hyperlink"/>
    <w:basedOn w:val="Standaardalinea-lettertype"/>
    <w:uiPriority w:val="99"/>
    <w:rsid w:val="007E2E9E"/>
    <w:rPr>
      <w:rFonts w:cs="Times New Roman"/>
      <w:color w:val="773388"/>
      <w:u w:val="single"/>
    </w:rPr>
  </w:style>
  <w:style w:type="table" w:styleId="Elegantetabel">
    <w:name w:val="Table Elegant"/>
    <w:basedOn w:val="Standaardtabel"/>
    <w:uiPriority w:val="99"/>
    <w:locked/>
    <w:rsid w:val="00CC1014"/>
    <w:pPr>
      <w:spacing w:after="280" w:line="28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3D-effectenvoortabel1">
    <w:name w:val="Table 3D effects 1"/>
    <w:basedOn w:val="Standaardtabel"/>
    <w:uiPriority w:val="99"/>
    <w:locked/>
    <w:rsid w:val="00D46707"/>
    <w:pPr>
      <w:spacing w:after="280" w:line="280" w:lineRule="atLeast"/>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uiPriority w:val="99"/>
    <w:rsid w:val="007E2E9E"/>
    <w:pPr>
      <w:pBdr>
        <w:top w:val="dotted" w:sz="8" w:space="0" w:color="AAAA99"/>
        <w:bottom w:val="dotted" w:sz="8" w:space="1" w:color="AAAA99"/>
      </w:pBdr>
      <w:spacing w:after="480" w:line="200" w:lineRule="atLeast"/>
    </w:pPr>
    <w:rPr>
      <w:szCs w:val="20"/>
    </w:rPr>
  </w:style>
  <w:style w:type="table" w:styleId="3D-effectenvoortabel2">
    <w:name w:val="Table 3D effects 2"/>
    <w:basedOn w:val="Standaardtabel"/>
    <w:uiPriority w:val="99"/>
    <w:locked/>
    <w:rsid w:val="001B1AC8"/>
    <w:pPr>
      <w:spacing w:after="280" w:line="280" w:lineRule="atLeast"/>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rofessioneletabel">
    <w:name w:val="Table Professional"/>
    <w:basedOn w:val="Standaardtabel"/>
    <w:uiPriority w:val="99"/>
    <w:locked/>
    <w:rsid w:val="001B1AC8"/>
    <w:pPr>
      <w:spacing w:after="28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locked/>
    <w:rsid w:val="00A95E1B"/>
    <w:rPr>
      <w:color w:val="585849"/>
      <w:sz w:val="20"/>
      <w:szCs w:val="12"/>
      <w:lang w:eastAsia="nl-NL"/>
    </w:rPr>
  </w:style>
  <w:style w:type="paragraph" w:styleId="Lijstopsomteken">
    <w:name w:val="List Bullet"/>
    <w:basedOn w:val="Standaard"/>
    <w:uiPriority w:val="99"/>
    <w:rsid w:val="00EA018D"/>
    <w:pPr>
      <w:numPr>
        <w:numId w:val="1"/>
      </w:numPr>
    </w:pPr>
  </w:style>
  <w:style w:type="paragraph" w:styleId="Lijstalinea">
    <w:name w:val="List Paragraph"/>
    <w:aliases w:val="opsomming"/>
    <w:basedOn w:val="Standaard"/>
    <w:link w:val="LijstalineaChar"/>
    <w:uiPriority w:val="99"/>
    <w:qFormat/>
    <w:rsid w:val="00C80EE0"/>
    <w:pPr>
      <w:ind w:left="720"/>
    </w:pPr>
  </w:style>
  <w:style w:type="paragraph" w:customStyle="1" w:styleId="Default">
    <w:name w:val="Default"/>
    <w:uiPriority w:val="99"/>
    <w:rsid w:val="00090210"/>
    <w:pPr>
      <w:autoSpaceDE w:val="0"/>
      <w:autoSpaceDN w:val="0"/>
      <w:adjustRightInd w:val="0"/>
    </w:pPr>
    <w:rPr>
      <w:rFonts w:cs="Arial"/>
      <w:color w:val="000000"/>
      <w:sz w:val="24"/>
      <w:szCs w:val="24"/>
    </w:rPr>
  </w:style>
  <w:style w:type="character" w:customStyle="1" w:styleId="LijstalineaChar">
    <w:name w:val="Lijstalinea Char"/>
    <w:aliases w:val="opsomming Char"/>
    <w:basedOn w:val="Standaardalinea-lettertype"/>
    <w:link w:val="Lijstalinea"/>
    <w:uiPriority w:val="99"/>
    <w:locked/>
    <w:rsid w:val="009C3C5A"/>
    <w:rPr>
      <w:rFonts w:cs="Times New Roman"/>
      <w:color w:val="585849"/>
      <w:sz w:val="12"/>
      <w:szCs w:val="12"/>
      <w:lang w:eastAsia="nl-NL"/>
    </w:rPr>
  </w:style>
  <w:style w:type="character" w:styleId="Verwijzingopmerking">
    <w:name w:val="annotation reference"/>
    <w:basedOn w:val="Standaardalinea-lettertype"/>
    <w:uiPriority w:val="99"/>
    <w:rsid w:val="00942EF0"/>
    <w:rPr>
      <w:rFonts w:cs="Times New Roman"/>
      <w:sz w:val="16"/>
      <w:szCs w:val="16"/>
    </w:rPr>
  </w:style>
  <w:style w:type="paragraph" w:styleId="Tekstopmerking">
    <w:name w:val="annotation text"/>
    <w:basedOn w:val="Standaard"/>
    <w:link w:val="TekstopmerkingChar"/>
    <w:uiPriority w:val="99"/>
    <w:rsid w:val="00942EF0"/>
    <w:rPr>
      <w:szCs w:val="20"/>
    </w:rPr>
  </w:style>
  <w:style w:type="character" w:customStyle="1" w:styleId="TekstopmerkingChar">
    <w:name w:val="Tekst opmerking Char"/>
    <w:basedOn w:val="Standaardalinea-lettertype"/>
    <w:link w:val="Tekstopmerking"/>
    <w:uiPriority w:val="99"/>
    <w:locked/>
    <w:rsid w:val="00942EF0"/>
    <w:rPr>
      <w:rFonts w:cs="Times New Roman"/>
      <w:color w:val="585849"/>
      <w:lang w:eastAsia="nl-NL"/>
    </w:rPr>
  </w:style>
  <w:style w:type="paragraph" w:styleId="Onderwerpvanopmerking">
    <w:name w:val="annotation subject"/>
    <w:basedOn w:val="Tekstopmerking"/>
    <w:next w:val="Tekstopmerking"/>
    <w:link w:val="OnderwerpvanopmerkingChar"/>
    <w:uiPriority w:val="99"/>
    <w:rsid w:val="00942EF0"/>
    <w:rPr>
      <w:b/>
      <w:bCs/>
    </w:rPr>
  </w:style>
  <w:style w:type="character" w:customStyle="1" w:styleId="OnderwerpvanopmerkingChar">
    <w:name w:val="Onderwerp van opmerking Char"/>
    <w:basedOn w:val="TekstopmerkingChar"/>
    <w:link w:val="Onderwerpvanopmerking"/>
    <w:uiPriority w:val="99"/>
    <w:locked/>
    <w:rsid w:val="00942EF0"/>
    <w:rPr>
      <w:rFonts w:cs="Times New Roman"/>
      <w:b/>
      <w:bCs/>
      <w:color w:val="585849"/>
      <w:lang w:eastAsia="nl-NL"/>
    </w:rPr>
  </w:style>
  <w:style w:type="paragraph" w:styleId="Voetnoottekst">
    <w:name w:val="footnote text"/>
    <w:basedOn w:val="Standaard"/>
    <w:link w:val="VoetnoottekstChar"/>
    <w:rsid w:val="008D188B"/>
    <w:rPr>
      <w:szCs w:val="20"/>
    </w:rPr>
  </w:style>
  <w:style w:type="character" w:customStyle="1" w:styleId="VoetnoottekstChar">
    <w:name w:val="Voetnoottekst Char"/>
    <w:basedOn w:val="Standaardalinea-lettertype"/>
    <w:link w:val="Voetnoottekst"/>
    <w:locked/>
    <w:rsid w:val="008D188B"/>
    <w:rPr>
      <w:rFonts w:cs="Times New Roman"/>
      <w:color w:val="585849"/>
      <w:lang w:eastAsia="nl-NL"/>
    </w:rPr>
  </w:style>
  <w:style w:type="character" w:styleId="Voetnootmarkering">
    <w:name w:val="footnote reference"/>
    <w:basedOn w:val="Standaardalinea-lettertype"/>
    <w:rsid w:val="008D188B"/>
    <w:rPr>
      <w:rFonts w:cs="Times New Roman"/>
      <w:vertAlign w:val="superscript"/>
    </w:rPr>
  </w:style>
  <w:style w:type="paragraph" w:styleId="Kopvaninhoudsopgave">
    <w:name w:val="TOC Heading"/>
    <w:basedOn w:val="Kop1"/>
    <w:next w:val="Standaard"/>
    <w:uiPriority w:val="39"/>
    <w:qFormat/>
    <w:rsid w:val="00EF33FF"/>
    <w:pPr>
      <w:numPr>
        <w:numId w:val="0"/>
      </w:numPr>
      <w:spacing w:after="0" w:line="276" w:lineRule="auto"/>
      <w:contextualSpacing w:val="0"/>
      <w:outlineLvl w:val="9"/>
    </w:pPr>
    <w:rPr>
      <w:rFonts w:ascii="Cambria" w:hAnsi="Cambria"/>
      <w:color w:val="365F91"/>
      <w:sz w:val="28"/>
      <w:lang w:eastAsia="nl-BE"/>
    </w:rPr>
  </w:style>
  <w:style w:type="paragraph" w:styleId="Inhopg1">
    <w:name w:val="toc 1"/>
    <w:basedOn w:val="Standaard"/>
    <w:next w:val="Standaard"/>
    <w:autoRedefine/>
    <w:uiPriority w:val="39"/>
    <w:rsid w:val="00EF33FF"/>
    <w:pPr>
      <w:spacing w:after="100"/>
    </w:pPr>
  </w:style>
  <w:style w:type="paragraph" w:styleId="Inhopg2">
    <w:name w:val="toc 2"/>
    <w:basedOn w:val="Standaard"/>
    <w:next w:val="Standaard"/>
    <w:autoRedefine/>
    <w:uiPriority w:val="39"/>
    <w:rsid w:val="00EF33FF"/>
    <w:pPr>
      <w:spacing w:after="100"/>
      <w:ind w:left="200"/>
    </w:pPr>
  </w:style>
  <w:style w:type="numbering" w:customStyle="1" w:styleId="nummering-">
    <w:name w:val="nummering-"/>
    <w:rsid w:val="00D87CBA"/>
    <w:pPr>
      <w:numPr>
        <w:numId w:val="3"/>
      </w:numPr>
    </w:pPr>
  </w:style>
  <w:style w:type="numbering" w:customStyle="1" w:styleId="Opsomming-">
    <w:name w:val="Opsomming-"/>
    <w:rsid w:val="00D87CBA"/>
    <w:pPr>
      <w:numPr>
        <w:numId w:val="4"/>
      </w:numPr>
    </w:pPr>
  </w:style>
  <w:style w:type="paragraph" w:styleId="Geenafstand">
    <w:name w:val="No Spacing"/>
    <w:uiPriority w:val="1"/>
    <w:qFormat/>
    <w:rsid w:val="009F446E"/>
    <w:pPr>
      <w:spacing w:before="240" w:after="240" w:line="280" w:lineRule="exact"/>
      <w:ind w:right="-794"/>
    </w:pPr>
    <w:rPr>
      <w:sz w:val="18"/>
      <w:szCs w:val="24"/>
      <w:lang w:eastAsia="nl-NL"/>
    </w:rPr>
  </w:style>
  <w:style w:type="paragraph" w:styleId="Inhopg3">
    <w:name w:val="toc 3"/>
    <w:basedOn w:val="Standaard"/>
    <w:next w:val="Standaard"/>
    <w:autoRedefine/>
    <w:uiPriority w:val="39"/>
    <w:unhideWhenUsed/>
    <w:rsid w:val="009F2AED"/>
    <w:pPr>
      <w:spacing w:after="100"/>
      <w:ind w:left="400"/>
    </w:pPr>
  </w:style>
  <w:style w:type="paragraph" w:styleId="Voettekst">
    <w:name w:val="footer"/>
    <w:basedOn w:val="Standaard"/>
    <w:link w:val="VoettekstChar"/>
    <w:uiPriority w:val="99"/>
    <w:unhideWhenUsed/>
    <w:rsid w:val="00E05D5C"/>
    <w:pPr>
      <w:tabs>
        <w:tab w:val="center" w:pos="4680"/>
        <w:tab w:val="right" w:pos="9360"/>
      </w:tabs>
      <w:spacing w:line="240" w:lineRule="auto"/>
      <w:contextualSpacing w:val="0"/>
    </w:pPr>
    <w:rPr>
      <w:rFonts w:asciiTheme="minorHAnsi" w:eastAsiaTheme="minorEastAsia" w:hAnsiTheme="minorHAnsi"/>
      <w:color w:val="auto"/>
      <w:sz w:val="22"/>
      <w:szCs w:val="22"/>
      <w:lang w:eastAsia="nl-BE"/>
    </w:rPr>
  </w:style>
  <w:style w:type="character" w:customStyle="1" w:styleId="VoettekstChar">
    <w:name w:val="Voettekst Char"/>
    <w:basedOn w:val="Standaardalinea-lettertype"/>
    <w:link w:val="Voettekst"/>
    <w:uiPriority w:val="99"/>
    <w:rsid w:val="00E05D5C"/>
    <w:rPr>
      <w:rFonts w:asciiTheme="minorHAnsi" w:eastAsiaTheme="minorEastAsia" w:hAnsiTheme="minorHAnsi"/>
    </w:rPr>
  </w:style>
  <w:style w:type="character" w:styleId="Onopgelostemelding">
    <w:name w:val="Unresolved Mention"/>
    <w:basedOn w:val="Standaardalinea-lettertype"/>
    <w:uiPriority w:val="99"/>
    <w:semiHidden/>
    <w:unhideWhenUsed/>
    <w:rsid w:val="00B73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422">
      <w:marLeft w:val="0"/>
      <w:marRight w:val="0"/>
      <w:marTop w:val="0"/>
      <w:marBottom w:val="0"/>
      <w:divBdr>
        <w:top w:val="none" w:sz="0" w:space="0" w:color="auto"/>
        <w:left w:val="none" w:sz="0" w:space="0" w:color="auto"/>
        <w:bottom w:val="none" w:sz="0" w:space="0" w:color="auto"/>
        <w:right w:val="none" w:sz="0" w:space="0" w:color="auto"/>
      </w:divBdr>
    </w:div>
    <w:div w:id="7218423">
      <w:marLeft w:val="0"/>
      <w:marRight w:val="0"/>
      <w:marTop w:val="0"/>
      <w:marBottom w:val="0"/>
      <w:divBdr>
        <w:top w:val="none" w:sz="0" w:space="0" w:color="auto"/>
        <w:left w:val="none" w:sz="0" w:space="0" w:color="auto"/>
        <w:bottom w:val="none" w:sz="0" w:space="0" w:color="auto"/>
        <w:right w:val="none" w:sz="0" w:space="0" w:color="auto"/>
      </w:divBdr>
    </w:div>
    <w:div w:id="7218424">
      <w:marLeft w:val="0"/>
      <w:marRight w:val="0"/>
      <w:marTop w:val="0"/>
      <w:marBottom w:val="0"/>
      <w:divBdr>
        <w:top w:val="none" w:sz="0" w:space="0" w:color="auto"/>
        <w:left w:val="none" w:sz="0" w:space="0" w:color="auto"/>
        <w:bottom w:val="none" w:sz="0" w:space="0" w:color="auto"/>
        <w:right w:val="none" w:sz="0" w:space="0" w:color="auto"/>
      </w:divBdr>
    </w:div>
    <w:div w:id="7218426">
      <w:marLeft w:val="0"/>
      <w:marRight w:val="0"/>
      <w:marTop w:val="0"/>
      <w:marBottom w:val="0"/>
      <w:divBdr>
        <w:top w:val="none" w:sz="0" w:space="0" w:color="auto"/>
        <w:left w:val="none" w:sz="0" w:space="0" w:color="auto"/>
        <w:bottom w:val="none" w:sz="0" w:space="0" w:color="auto"/>
        <w:right w:val="none" w:sz="0" w:space="0" w:color="auto"/>
      </w:divBdr>
    </w:div>
    <w:div w:id="7218427">
      <w:marLeft w:val="0"/>
      <w:marRight w:val="0"/>
      <w:marTop w:val="0"/>
      <w:marBottom w:val="0"/>
      <w:divBdr>
        <w:top w:val="none" w:sz="0" w:space="0" w:color="auto"/>
        <w:left w:val="none" w:sz="0" w:space="0" w:color="auto"/>
        <w:bottom w:val="none" w:sz="0" w:space="0" w:color="auto"/>
        <w:right w:val="none" w:sz="0" w:space="0" w:color="auto"/>
      </w:divBdr>
    </w:div>
    <w:div w:id="7218428">
      <w:marLeft w:val="0"/>
      <w:marRight w:val="0"/>
      <w:marTop w:val="0"/>
      <w:marBottom w:val="0"/>
      <w:divBdr>
        <w:top w:val="none" w:sz="0" w:space="0" w:color="auto"/>
        <w:left w:val="none" w:sz="0" w:space="0" w:color="auto"/>
        <w:bottom w:val="none" w:sz="0" w:space="0" w:color="auto"/>
        <w:right w:val="none" w:sz="0" w:space="0" w:color="auto"/>
      </w:divBdr>
    </w:div>
    <w:div w:id="7218430">
      <w:marLeft w:val="0"/>
      <w:marRight w:val="0"/>
      <w:marTop w:val="0"/>
      <w:marBottom w:val="0"/>
      <w:divBdr>
        <w:top w:val="none" w:sz="0" w:space="0" w:color="auto"/>
        <w:left w:val="none" w:sz="0" w:space="0" w:color="auto"/>
        <w:bottom w:val="none" w:sz="0" w:space="0" w:color="auto"/>
        <w:right w:val="none" w:sz="0" w:space="0" w:color="auto"/>
      </w:divBdr>
    </w:div>
    <w:div w:id="7218431">
      <w:marLeft w:val="0"/>
      <w:marRight w:val="0"/>
      <w:marTop w:val="0"/>
      <w:marBottom w:val="0"/>
      <w:divBdr>
        <w:top w:val="none" w:sz="0" w:space="0" w:color="auto"/>
        <w:left w:val="none" w:sz="0" w:space="0" w:color="auto"/>
        <w:bottom w:val="none" w:sz="0" w:space="0" w:color="auto"/>
        <w:right w:val="none" w:sz="0" w:space="0" w:color="auto"/>
      </w:divBdr>
    </w:div>
    <w:div w:id="7218432">
      <w:marLeft w:val="0"/>
      <w:marRight w:val="0"/>
      <w:marTop w:val="0"/>
      <w:marBottom w:val="0"/>
      <w:divBdr>
        <w:top w:val="none" w:sz="0" w:space="0" w:color="auto"/>
        <w:left w:val="none" w:sz="0" w:space="0" w:color="auto"/>
        <w:bottom w:val="none" w:sz="0" w:space="0" w:color="auto"/>
        <w:right w:val="none" w:sz="0" w:space="0" w:color="auto"/>
      </w:divBdr>
    </w:div>
    <w:div w:id="7218433">
      <w:marLeft w:val="0"/>
      <w:marRight w:val="0"/>
      <w:marTop w:val="0"/>
      <w:marBottom w:val="0"/>
      <w:divBdr>
        <w:top w:val="none" w:sz="0" w:space="0" w:color="auto"/>
        <w:left w:val="none" w:sz="0" w:space="0" w:color="auto"/>
        <w:bottom w:val="none" w:sz="0" w:space="0" w:color="auto"/>
        <w:right w:val="none" w:sz="0" w:space="0" w:color="auto"/>
      </w:divBdr>
    </w:div>
    <w:div w:id="7218434">
      <w:marLeft w:val="0"/>
      <w:marRight w:val="0"/>
      <w:marTop w:val="0"/>
      <w:marBottom w:val="0"/>
      <w:divBdr>
        <w:top w:val="none" w:sz="0" w:space="0" w:color="auto"/>
        <w:left w:val="none" w:sz="0" w:space="0" w:color="auto"/>
        <w:bottom w:val="none" w:sz="0" w:space="0" w:color="auto"/>
        <w:right w:val="none" w:sz="0" w:space="0" w:color="auto"/>
      </w:divBdr>
    </w:div>
    <w:div w:id="7218435">
      <w:marLeft w:val="0"/>
      <w:marRight w:val="0"/>
      <w:marTop w:val="0"/>
      <w:marBottom w:val="0"/>
      <w:divBdr>
        <w:top w:val="none" w:sz="0" w:space="0" w:color="auto"/>
        <w:left w:val="none" w:sz="0" w:space="0" w:color="auto"/>
        <w:bottom w:val="none" w:sz="0" w:space="0" w:color="auto"/>
        <w:right w:val="none" w:sz="0" w:space="0" w:color="auto"/>
      </w:divBdr>
    </w:div>
    <w:div w:id="7218436">
      <w:marLeft w:val="0"/>
      <w:marRight w:val="0"/>
      <w:marTop w:val="0"/>
      <w:marBottom w:val="0"/>
      <w:divBdr>
        <w:top w:val="none" w:sz="0" w:space="0" w:color="auto"/>
        <w:left w:val="none" w:sz="0" w:space="0" w:color="auto"/>
        <w:bottom w:val="none" w:sz="0" w:space="0" w:color="auto"/>
        <w:right w:val="none" w:sz="0" w:space="0" w:color="auto"/>
      </w:divBdr>
    </w:div>
    <w:div w:id="7218437">
      <w:marLeft w:val="0"/>
      <w:marRight w:val="0"/>
      <w:marTop w:val="0"/>
      <w:marBottom w:val="0"/>
      <w:divBdr>
        <w:top w:val="none" w:sz="0" w:space="0" w:color="auto"/>
        <w:left w:val="none" w:sz="0" w:space="0" w:color="auto"/>
        <w:bottom w:val="none" w:sz="0" w:space="0" w:color="auto"/>
        <w:right w:val="none" w:sz="0" w:space="0" w:color="auto"/>
      </w:divBdr>
    </w:div>
    <w:div w:id="7218438">
      <w:marLeft w:val="0"/>
      <w:marRight w:val="0"/>
      <w:marTop w:val="0"/>
      <w:marBottom w:val="0"/>
      <w:divBdr>
        <w:top w:val="none" w:sz="0" w:space="0" w:color="auto"/>
        <w:left w:val="none" w:sz="0" w:space="0" w:color="auto"/>
        <w:bottom w:val="none" w:sz="0" w:space="0" w:color="auto"/>
        <w:right w:val="none" w:sz="0" w:space="0" w:color="auto"/>
      </w:divBdr>
    </w:div>
    <w:div w:id="7218439">
      <w:marLeft w:val="0"/>
      <w:marRight w:val="0"/>
      <w:marTop w:val="0"/>
      <w:marBottom w:val="0"/>
      <w:divBdr>
        <w:top w:val="none" w:sz="0" w:space="0" w:color="auto"/>
        <w:left w:val="none" w:sz="0" w:space="0" w:color="auto"/>
        <w:bottom w:val="none" w:sz="0" w:space="0" w:color="auto"/>
        <w:right w:val="none" w:sz="0" w:space="0" w:color="auto"/>
      </w:divBdr>
    </w:div>
    <w:div w:id="7218440">
      <w:marLeft w:val="0"/>
      <w:marRight w:val="0"/>
      <w:marTop w:val="0"/>
      <w:marBottom w:val="0"/>
      <w:divBdr>
        <w:top w:val="none" w:sz="0" w:space="0" w:color="auto"/>
        <w:left w:val="none" w:sz="0" w:space="0" w:color="auto"/>
        <w:bottom w:val="none" w:sz="0" w:space="0" w:color="auto"/>
        <w:right w:val="none" w:sz="0" w:space="0" w:color="auto"/>
      </w:divBdr>
    </w:div>
    <w:div w:id="7218441">
      <w:marLeft w:val="0"/>
      <w:marRight w:val="0"/>
      <w:marTop w:val="0"/>
      <w:marBottom w:val="0"/>
      <w:divBdr>
        <w:top w:val="none" w:sz="0" w:space="0" w:color="auto"/>
        <w:left w:val="none" w:sz="0" w:space="0" w:color="auto"/>
        <w:bottom w:val="none" w:sz="0" w:space="0" w:color="auto"/>
        <w:right w:val="none" w:sz="0" w:space="0" w:color="auto"/>
      </w:divBdr>
      <w:divsChild>
        <w:div w:id="7218425">
          <w:marLeft w:val="547"/>
          <w:marRight w:val="0"/>
          <w:marTop w:val="288"/>
          <w:marBottom w:val="0"/>
          <w:divBdr>
            <w:top w:val="none" w:sz="0" w:space="0" w:color="auto"/>
            <w:left w:val="none" w:sz="0" w:space="0" w:color="auto"/>
            <w:bottom w:val="none" w:sz="0" w:space="0" w:color="auto"/>
            <w:right w:val="none" w:sz="0" w:space="0" w:color="auto"/>
          </w:divBdr>
        </w:div>
        <w:div w:id="7218429">
          <w:marLeft w:val="547"/>
          <w:marRight w:val="0"/>
          <w:marTop w:val="288"/>
          <w:marBottom w:val="0"/>
          <w:divBdr>
            <w:top w:val="none" w:sz="0" w:space="0" w:color="auto"/>
            <w:left w:val="none" w:sz="0" w:space="0" w:color="auto"/>
            <w:bottom w:val="none" w:sz="0" w:space="0" w:color="auto"/>
            <w:right w:val="none" w:sz="0" w:space="0" w:color="auto"/>
          </w:divBdr>
        </w:div>
        <w:div w:id="7218446">
          <w:marLeft w:val="547"/>
          <w:marRight w:val="0"/>
          <w:marTop w:val="288"/>
          <w:marBottom w:val="0"/>
          <w:divBdr>
            <w:top w:val="none" w:sz="0" w:space="0" w:color="auto"/>
            <w:left w:val="none" w:sz="0" w:space="0" w:color="auto"/>
            <w:bottom w:val="none" w:sz="0" w:space="0" w:color="auto"/>
            <w:right w:val="none" w:sz="0" w:space="0" w:color="auto"/>
          </w:divBdr>
        </w:div>
      </w:divsChild>
    </w:div>
    <w:div w:id="7218442">
      <w:marLeft w:val="0"/>
      <w:marRight w:val="0"/>
      <w:marTop w:val="0"/>
      <w:marBottom w:val="0"/>
      <w:divBdr>
        <w:top w:val="none" w:sz="0" w:space="0" w:color="auto"/>
        <w:left w:val="none" w:sz="0" w:space="0" w:color="auto"/>
        <w:bottom w:val="none" w:sz="0" w:space="0" w:color="auto"/>
        <w:right w:val="none" w:sz="0" w:space="0" w:color="auto"/>
      </w:divBdr>
    </w:div>
    <w:div w:id="7218443">
      <w:marLeft w:val="0"/>
      <w:marRight w:val="0"/>
      <w:marTop w:val="0"/>
      <w:marBottom w:val="0"/>
      <w:divBdr>
        <w:top w:val="none" w:sz="0" w:space="0" w:color="auto"/>
        <w:left w:val="none" w:sz="0" w:space="0" w:color="auto"/>
        <w:bottom w:val="none" w:sz="0" w:space="0" w:color="auto"/>
        <w:right w:val="none" w:sz="0" w:space="0" w:color="auto"/>
      </w:divBdr>
    </w:div>
    <w:div w:id="7218444">
      <w:marLeft w:val="0"/>
      <w:marRight w:val="0"/>
      <w:marTop w:val="0"/>
      <w:marBottom w:val="0"/>
      <w:divBdr>
        <w:top w:val="none" w:sz="0" w:space="0" w:color="auto"/>
        <w:left w:val="none" w:sz="0" w:space="0" w:color="auto"/>
        <w:bottom w:val="none" w:sz="0" w:space="0" w:color="auto"/>
        <w:right w:val="none" w:sz="0" w:space="0" w:color="auto"/>
      </w:divBdr>
    </w:div>
    <w:div w:id="7218445">
      <w:marLeft w:val="0"/>
      <w:marRight w:val="0"/>
      <w:marTop w:val="0"/>
      <w:marBottom w:val="0"/>
      <w:divBdr>
        <w:top w:val="none" w:sz="0" w:space="0" w:color="auto"/>
        <w:left w:val="none" w:sz="0" w:space="0" w:color="auto"/>
        <w:bottom w:val="none" w:sz="0" w:space="0" w:color="auto"/>
        <w:right w:val="none" w:sz="0" w:space="0" w:color="auto"/>
      </w:divBdr>
    </w:div>
    <w:div w:id="7218447">
      <w:marLeft w:val="0"/>
      <w:marRight w:val="0"/>
      <w:marTop w:val="0"/>
      <w:marBottom w:val="0"/>
      <w:divBdr>
        <w:top w:val="none" w:sz="0" w:space="0" w:color="auto"/>
        <w:left w:val="none" w:sz="0" w:space="0" w:color="auto"/>
        <w:bottom w:val="none" w:sz="0" w:space="0" w:color="auto"/>
        <w:right w:val="none" w:sz="0" w:space="0" w:color="auto"/>
      </w:divBdr>
      <w:divsChild>
        <w:div w:id="7218449">
          <w:marLeft w:val="547"/>
          <w:marRight w:val="0"/>
          <w:marTop w:val="288"/>
          <w:marBottom w:val="0"/>
          <w:divBdr>
            <w:top w:val="none" w:sz="0" w:space="0" w:color="auto"/>
            <w:left w:val="none" w:sz="0" w:space="0" w:color="auto"/>
            <w:bottom w:val="none" w:sz="0" w:space="0" w:color="auto"/>
            <w:right w:val="none" w:sz="0" w:space="0" w:color="auto"/>
          </w:divBdr>
        </w:div>
        <w:div w:id="7218452">
          <w:marLeft w:val="547"/>
          <w:marRight w:val="0"/>
          <w:marTop w:val="288"/>
          <w:marBottom w:val="0"/>
          <w:divBdr>
            <w:top w:val="none" w:sz="0" w:space="0" w:color="auto"/>
            <w:left w:val="none" w:sz="0" w:space="0" w:color="auto"/>
            <w:bottom w:val="none" w:sz="0" w:space="0" w:color="auto"/>
            <w:right w:val="none" w:sz="0" w:space="0" w:color="auto"/>
          </w:divBdr>
        </w:div>
      </w:divsChild>
    </w:div>
    <w:div w:id="7218448">
      <w:marLeft w:val="0"/>
      <w:marRight w:val="0"/>
      <w:marTop w:val="0"/>
      <w:marBottom w:val="0"/>
      <w:divBdr>
        <w:top w:val="none" w:sz="0" w:space="0" w:color="auto"/>
        <w:left w:val="none" w:sz="0" w:space="0" w:color="auto"/>
        <w:bottom w:val="none" w:sz="0" w:space="0" w:color="auto"/>
        <w:right w:val="none" w:sz="0" w:space="0" w:color="auto"/>
      </w:divBdr>
    </w:div>
    <w:div w:id="7218450">
      <w:marLeft w:val="0"/>
      <w:marRight w:val="0"/>
      <w:marTop w:val="0"/>
      <w:marBottom w:val="0"/>
      <w:divBdr>
        <w:top w:val="none" w:sz="0" w:space="0" w:color="auto"/>
        <w:left w:val="none" w:sz="0" w:space="0" w:color="auto"/>
        <w:bottom w:val="none" w:sz="0" w:space="0" w:color="auto"/>
        <w:right w:val="none" w:sz="0" w:space="0" w:color="auto"/>
      </w:divBdr>
    </w:div>
    <w:div w:id="7218451">
      <w:marLeft w:val="0"/>
      <w:marRight w:val="0"/>
      <w:marTop w:val="0"/>
      <w:marBottom w:val="0"/>
      <w:divBdr>
        <w:top w:val="none" w:sz="0" w:space="0" w:color="auto"/>
        <w:left w:val="none" w:sz="0" w:space="0" w:color="auto"/>
        <w:bottom w:val="none" w:sz="0" w:space="0" w:color="auto"/>
        <w:right w:val="none" w:sz="0" w:space="0" w:color="auto"/>
      </w:divBdr>
    </w:div>
    <w:div w:id="7218453">
      <w:marLeft w:val="0"/>
      <w:marRight w:val="0"/>
      <w:marTop w:val="0"/>
      <w:marBottom w:val="0"/>
      <w:divBdr>
        <w:top w:val="none" w:sz="0" w:space="0" w:color="auto"/>
        <w:left w:val="none" w:sz="0" w:space="0" w:color="auto"/>
        <w:bottom w:val="none" w:sz="0" w:space="0" w:color="auto"/>
        <w:right w:val="none" w:sz="0" w:space="0" w:color="auto"/>
      </w:divBdr>
    </w:div>
    <w:div w:id="7218454">
      <w:marLeft w:val="0"/>
      <w:marRight w:val="0"/>
      <w:marTop w:val="0"/>
      <w:marBottom w:val="0"/>
      <w:divBdr>
        <w:top w:val="none" w:sz="0" w:space="0" w:color="auto"/>
        <w:left w:val="none" w:sz="0" w:space="0" w:color="auto"/>
        <w:bottom w:val="none" w:sz="0" w:space="0" w:color="auto"/>
        <w:right w:val="none" w:sz="0" w:space="0" w:color="auto"/>
      </w:divBdr>
    </w:div>
    <w:div w:id="683167215">
      <w:bodyDiv w:val="1"/>
      <w:marLeft w:val="0"/>
      <w:marRight w:val="0"/>
      <w:marTop w:val="0"/>
      <w:marBottom w:val="0"/>
      <w:divBdr>
        <w:top w:val="none" w:sz="0" w:space="0" w:color="auto"/>
        <w:left w:val="none" w:sz="0" w:space="0" w:color="auto"/>
        <w:bottom w:val="none" w:sz="0" w:space="0" w:color="auto"/>
        <w:right w:val="none" w:sz="0" w:space="0" w:color="auto"/>
      </w:divBdr>
    </w:div>
    <w:div w:id="822115255">
      <w:bodyDiv w:val="1"/>
      <w:marLeft w:val="0"/>
      <w:marRight w:val="0"/>
      <w:marTop w:val="0"/>
      <w:marBottom w:val="0"/>
      <w:divBdr>
        <w:top w:val="none" w:sz="0" w:space="0" w:color="auto"/>
        <w:left w:val="none" w:sz="0" w:space="0" w:color="auto"/>
        <w:bottom w:val="none" w:sz="0" w:space="0" w:color="auto"/>
        <w:right w:val="none" w:sz="0" w:space="0" w:color="auto"/>
      </w:divBdr>
    </w:div>
    <w:div w:id="1865240099">
      <w:bodyDiv w:val="1"/>
      <w:marLeft w:val="0"/>
      <w:marRight w:val="0"/>
      <w:marTop w:val="0"/>
      <w:marBottom w:val="0"/>
      <w:divBdr>
        <w:top w:val="none" w:sz="0" w:space="0" w:color="auto"/>
        <w:left w:val="none" w:sz="0" w:space="0" w:color="auto"/>
        <w:bottom w:val="none" w:sz="0" w:space="0" w:color="auto"/>
        <w:right w:val="none" w:sz="0" w:space="0" w:color="auto"/>
      </w:divBdr>
      <w:divsChild>
        <w:div w:id="1748183816">
          <w:marLeft w:val="0"/>
          <w:marRight w:val="0"/>
          <w:marTop w:val="0"/>
          <w:marBottom w:val="0"/>
          <w:divBdr>
            <w:top w:val="none" w:sz="0" w:space="0" w:color="auto"/>
            <w:left w:val="none" w:sz="0" w:space="0" w:color="auto"/>
            <w:bottom w:val="none" w:sz="0" w:space="0" w:color="auto"/>
            <w:right w:val="none" w:sz="0" w:space="0" w:color="auto"/>
          </w:divBdr>
          <w:divsChild>
            <w:div w:id="709571080">
              <w:marLeft w:val="0"/>
              <w:marRight w:val="0"/>
              <w:marTop w:val="0"/>
              <w:marBottom w:val="0"/>
              <w:divBdr>
                <w:top w:val="none" w:sz="0" w:space="0" w:color="auto"/>
                <w:left w:val="none" w:sz="0" w:space="0" w:color="auto"/>
                <w:bottom w:val="none" w:sz="0" w:space="0" w:color="auto"/>
                <w:right w:val="none" w:sz="0" w:space="0" w:color="auto"/>
              </w:divBdr>
              <w:divsChild>
                <w:div w:id="775828254">
                  <w:marLeft w:val="0"/>
                  <w:marRight w:val="0"/>
                  <w:marTop w:val="0"/>
                  <w:marBottom w:val="0"/>
                  <w:divBdr>
                    <w:top w:val="none" w:sz="0" w:space="0" w:color="auto"/>
                    <w:left w:val="none" w:sz="0" w:space="0" w:color="auto"/>
                    <w:bottom w:val="none" w:sz="0" w:space="0" w:color="auto"/>
                    <w:right w:val="none" w:sz="0" w:space="0" w:color="auto"/>
                  </w:divBdr>
                  <w:divsChild>
                    <w:div w:id="2056420088">
                      <w:marLeft w:val="0"/>
                      <w:marRight w:val="0"/>
                      <w:marTop w:val="0"/>
                      <w:marBottom w:val="0"/>
                      <w:divBdr>
                        <w:top w:val="none" w:sz="0" w:space="0" w:color="auto"/>
                        <w:left w:val="none" w:sz="0" w:space="0" w:color="auto"/>
                        <w:bottom w:val="none" w:sz="0" w:space="0" w:color="auto"/>
                        <w:right w:val="none" w:sz="0" w:space="0" w:color="auto"/>
                      </w:divBdr>
                      <w:divsChild>
                        <w:div w:id="342441114">
                          <w:marLeft w:val="0"/>
                          <w:marRight w:val="0"/>
                          <w:marTop w:val="0"/>
                          <w:marBottom w:val="0"/>
                          <w:divBdr>
                            <w:top w:val="none" w:sz="0" w:space="0" w:color="auto"/>
                            <w:left w:val="none" w:sz="0" w:space="0" w:color="auto"/>
                            <w:bottom w:val="none" w:sz="0" w:space="0" w:color="auto"/>
                            <w:right w:val="none" w:sz="0" w:space="0" w:color="auto"/>
                          </w:divBdr>
                          <w:divsChild>
                            <w:div w:id="1573857757">
                              <w:marLeft w:val="0"/>
                              <w:marRight w:val="0"/>
                              <w:marTop w:val="0"/>
                              <w:marBottom w:val="0"/>
                              <w:divBdr>
                                <w:top w:val="none" w:sz="0" w:space="0" w:color="auto"/>
                                <w:left w:val="none" w:sz="0" w:space="0" w:color="auto"/>
                                <w:bottom w:val="none" w:sz="0" w:space="0" w:color="auto"/>
                                <w:right w:val="none" w:sz="0" w:space="0" w:color="auto"/>
                              </w:divBdr>
                              <w:divsChild>
                                <w:div w:id="958416086">
                                  <w:marLeft w:val="0"/>
                                  <w:marRight w:val="0"/>
                                  <w:marTop w:val="0"/>
                                  <w:marBottom w:val="0"/>
                                  <w:divBdr>
                                    <w:top w:val="none" w:sz="0" w:space="0" w:color="auto"/>
                                    <w:left w:val="none" w:sz="0" w:space="0" w:color="auto"/>
                                    <w:bottom w:val="none" w:sz="0" w:space="0" w:color="auto"/>
                                    <w:right w:val="none" w:sz="0" w:space="0" w:color="auto"/>
                                  </w:divBdr>
                                  <w:divsChild>
                                    <w:div w:id="1455175552">
                                      <w:marLeft w:val="0"/>
                                      <w:marRight w:val="0"/>
                                      <w:marTop w:val="75"/>
                                      <w:marBottom w:val="0"/>
                                      <w:divBdr>
                                        <w:top w:val="none" w:sz="0" w:space="0" w:color="auto"/>
                                        <w:left w:val="none" w:sz="0" w:space="0" w:color="auto"/>
                                        <w:bottom w:val="none" w:sz="0" w:space="0" w:color="auto"/>
                                        <w:right w:val="none" w:sz="0" w:space="0" w:color="auto"/>
                                      </w:divBdr>
                                      <w:divsChild>
                                        <w:div w:id="10328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sg.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sg.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9B2055421804497BD10025B6515DB" ma:contentTypeVersion="22" ma:contentTypeDescription="Een nieuw document maken." ma:contentTypeScope="" ma:versionID="c15041576a3da0887444539f2505d397">
  <xsd:schema xmlns:xsd="http://www.w3.org/2001/XMLSchema" xmlns:xs="http://www.w3.org/2001/XMLSchema" xmlns:p="http://schemas.microsoft.com/office/2006/metadata/properties" xmlns:ns2="a212a750-b772-4cbb-90af-0616f1768c61" xmlns:ns3="dae07d31-9f43-460c-a585-427363be3ad1" targetNamespace="http://schemas.microsoft.com/office/2006/metadata/properties" ma:root="true" ma:fieldsID="72a6ad08da61d95252bf0c3aa7a187f3" ns2:_="" ns3:_="">
    <xsd:import namespace="a212a750-b772-4cbb-90af-0616f1768c61"/>
    <xsd:import namespace="dae07d31-9f43-460c-a585-427363be3ad1"/>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2a750-b772-4cbb-90af-0616f1768c6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false">
      <xsd:simpleType>
        <xsd:restriction base="dms:Text"/>
      </xsd:simpleType>
    </xsd:element>
    <xsd:element name="_dlc_DocIdUrl" ma:index="9"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7d31-9f43-460c-a585-427363be3ad1"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4442fe2c-0486-4e44-8c6c-cac5bf74b3b7}" ma:internalName="TaxCatchAll" ma:showField="CatchAllData" ma:web="dae07d31-9f43-460c-a585-427363be3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212a750-b772-4cbb-90af-0616f1768c61">VVSG-153-37524</_dlc_DocId>
    <_dlc_DocIdUrl xmlns="a212a750-b772-4cbb-90af-0616f1768c61">
      <Url>https://intranet.vvsg.be/werkingorganisatie/_layouts/15/DocIdRedir.aspx?ID=VVSG-153-37524</Url>
      <Description>VVSG-153-37524</Description>
    </_dlc_DocIdUrl>
    <_dlc_DocIdPersistId xmlns="a212a750-b772-4cbb-90af-0616f1768c61" xsi:nil="true"/>
    <TaxCatchAll xmlns="dae07d31-9f43-460c-a585-427363be3ad1" xsi:nil="true"/>
    <lcf76f155ced4ddcb4097134ff3c332f xmlns="a212a750-b772-4cbb-90af-0616f1768c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CF25C-D25B-45B2-BD56-C52D14EF7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2a750-b772-4cbb-90af-0616f1768c61"/>
    <ds:schemaRef ds:uri="dae07d31-9f43-460c-a585-427363be3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7CA6-AF2D-4A17-87E5-A1F5D8C815BA}">
  <ds:schemaRefs>
    <ds:schemaRef ds:uri="http://schemas.microsoft.com/sharepoint/v3/contenttype/forms"/>
  </ds:schemaRefs>
</ds:datastoreItem>
</file>

<file path=customXml/itemProps3.xml><?xml version="1.0" encoding="utf-8"?>
<ds:datastoreItem xmlns:ds="http://schemas.openxmlformats.org/officeDocument/2006/customXml" ds:itemID="{1FA34923-5247-43EA-9C76-0335C10F139C}">
  <ds:schemaRefs>
    <ds:schemaRef ds:uri="http://schemas.microsoft.com/office/2006/metadata/properties"/>
    <ds:schemaRef ds:uri="http://schemas.microsoft.com/office/infopath/2007/PartnerControls"/>
    <ds:schemaRef ds:uri="a212a750-b772-4cbb-90af-0616f1768c61"/>
    <ds:schemaRef ds:uri="dae07d31-9f43-460c-a585-427363be3ad1"/>
  </ds:schemaRefs>
</ds:datastoreItem>
</file>

<file path=customXml/itemProps4.xml><?xml version="1.0" encoding="utf-8"?>
<ds:datastoreItem xmlns:ds="http://schemas.openxmlformats.org/officeDocument/2006/customXml" ds:itemID="{6053E7E6-46AA-47A8-86C4-457C62B1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3481</Words>
  <Characters>19148</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DC 2011_139</vt:lpstr>
    </vt:vector>
  </TitlesOfParts>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 2011_139</dc:title>
  <dc:subject/>
  <dc:creator/>
  <cp:keywords/>
  <dc:description/>
  <cp:lastModifiedBy>Marijke De Lange</cp:lastModifiedBy>
  <cp:revision>13</cp:revision>
  <cp:lastPrinted>2011-11-29T14:31:00Z</cp:lastPrinted>
  <dcterms:created xsi:type="dcterms:W3CDTF">2018-12-21T10:54:00Z</dcterms:created>
  <dcterms:modified xsi:type="dcterms:W3CDTF">2026-03-26T14:58:00Z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0x0101002B29B2055421804497BD10025B6515DB</vt:lpwstr>
  </property>
  <property fmtid="{D5CDD505-2E9C-101B-9397-08002B2CF9AE}" pid="3" name="_dlc_DocIdItemGuid">
    <vt:lpwstr>e953a2ac-b27d-41b5-839c-8b87f1577011</vt:lpwstr>
  </property>
  <property fmtid="{D5CDD505-2E9C-101B-9397-08002B2CF9AE}" pid="4" name="Waarde van de document-id">
    <vt:lpwstr>VVSG-153-37524</vt:lpwstr>
  </property>
  <property fmtid="{D5CDD505-2E9C-101B-9397-08002B2CF9AE}" pid="5" name="Order">
    <vt:r8>3752400</vt:r8>
  </property>
  <property fmtid="{D5CDD505-2E9C-101B-9397-08002B2CF9AE}" pid="6" name="Titel">
    <vt:lpwstr>DC 2011_139</vt:lpwstr>
  </property>
  <property fmtid="{D5CDD505-2E9C-101B-9397-08002B2CF9AE}" pid="7" name="MediaServiceImageTags">
    <vt:lpwstr/>
  </property>
</Properties>
</file>