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8CC21" w14:textId="295E8839" w:rsidR="00762332" w:rsidRDefault="00762332" w:rsidP="00762332">
      <w:r w:rsidRPr="00FA2B4A">
        <w:rPr>
          <w:b/>
          <w:bCs/>
        </w:rPr>
        <w:t>datum</w:t>
      </w:r>
      <w:r>
        <w:t xml:space="preserve">: </w:t>
      </w:r>
      <w:sdt>
        <w:sdtPr>
          <w:id w:val="-1371985293"/>
          <w:placeholder>
            <w:docPart w:val="28FE47DDAC6D47B392FAB6441701D2E2"/>
          </w:placeholder>
          <w:date w:fullDate="2023-10-04T00:00:00Z">
            <w:dateFormat w:val="d MMMM yyyy"/>
            <w:lid w:val="nl-BE"/>
            <w:storeMappedDataAs w:val="dateTime"/>
            <w:calendar w:val="gregorian"/>
          </w:date>
        </w:sdtPr>
        <w:sdtEndPr/>
        <w:sdtContent>
          <w:r w:rsidR="00E60ACC">
            <w:rPr>
              <w:lang w:val="nl-BE"/>
            </w:rPr>
            <w:t>4 oktober 2023</w:t>
          </w:r>
        </w:sdtContent>
      </w:sdt>
    </w:p>
    <w:p w14:paraId="40DBEC9F" w14:textId="4A53CECC" w:rsidR="00523BBB" w:rsidRDefault="00E10CE1" w:rsidP="00523BBB">
      <w:pPr>
        <w:pStyle w:val="OnderwerpVVSG"/>
      </w:pPr>
      <w:r>
        <w:t>B</w:t>
      </w:r>
      <w:r w:rsidR="000B2181">
        <w:t>etere financiering en meer zekerheid</w:t>
      </w:r>
      <w:r w:rsidR="00EE1A7E">
        <w:t xml:space="preserve"> moeten lokale besturen overtuigen</w:t>
      </w:r>
      <w:r>
        <w:t xml:space="preserve"> om lokale opvanginitiatieven te openen</w:t>
      </w:r>
    </w:p>
    <w:p w14:paraId="50117969" w14:textId="08C022EF" w:rsidR="00024353" w:rsidRPr="00AA4D6A" w:rsidRDefault="00AA0986" w:rsidP="00523BBB">
      <w:pPr>
        <w:pStyle w:val="1Titel1VVSG"/>
      </w:pPr>
      <w:r>
        <w:t>Inleiding</w:t>
      </w:r>
      <w:r w:rsidR="00024353" w:rsidRPr="00AA4D6A">
        <w:t xml:space="preserve"> </w:t>
      </w:r>
    </w:p>
    <w:p w14:paraId="3E666FB8" w14:textId="2A2774E6" w:rsidR="00024353" w:rsidRDefault="00AA0986" w:rsidP="00AA0986">
      <w:pPr>
        <w:pStyle w:val="OpsommingVVSG"/>
        <w:numPr>
          <w:ilvl w:val="0"/>
          <w:numId w:val="0"/>
        </w:numPr>
      </w:pPr>
      <w:r w:rsidRPr="0024321B">
        <w:rPr>
          <w:lang w:val="nl-NL"/>
        </w:rPr>
        <w:t>Op 20 juli heeft de Ministerraad een pakket maatregelen goedgekeurd die ertoe moeten leiden dat de lokale besturen meer opvangplaatsen in de lokale opvanginitiatieven (LOI) organiseren. Het streefdoel in het opvangnetwerk is 60% collectieve opvang</w:t>
      </w:r>
      <w:r w:rsidR="009101CD">
        <w:rPr>
          <w:lang w:val="nl-NL"/>
        </w:rPr>
        <w:t xml:space="preserve"> </w:t>
      </w:r>
      <w:r w:rsidR="00A16A57">
        <w:rPr>
          <w:lang w:val="nl-NL"/>
        </w:rPr>
        <w:t xml:space="preserve">in opvangcentra </w:t>
      </w:r>
      <w:r w:rsidRPr="0024321B">
        <w:rPr>
          <w:lang w:val="nl-NL"/>
        </w:rPr>
        <w:t xml:space="preserve">en 40% individuele opvang in de LOI. Die verhouding is nodig opdat het opvangmodel goed zou werken. Momenteel bedraagt het aandeel van de LOI in het opvangnetwerk slechts ongeveer 14%. </w:t>
      </w:r>
      <w:r w:rsidRPr="0024321B">
        <w:rPr>
          <w:bCs/>
          <w:lang w:val="nl-NL"/>
        </w:rPr>
        <w:t xml:space="preserve">Dat komt door een daling van het aantal LOI-plaatsen maar </w:t>
      </w:r>
      <w:r w:rsidR="00A16A57">
        <w:rPr>
          <w:bCs/>
          <w:lang w:val="nl-NL"/>
        </w:rPr>
        <w:t xml:space="preserve">ook doordat </w:t>
      </w:r>
      <w:r w:rsidRPr="0024321B">
        <w:rPr>
          <w:bCs/>
          <w:lang w:val="nl-NL"/>
        </w:rPr>
        <w:t>er heel wat LOI-plaatsen niet beschikbaar</w:t>
      </w:r>
      <w:r w:rsidR="00A16A57">
        <w:rPr>
          <w:bCs/>
          <w:lang w:val="nl-NL"/>
        </w:rPr>
        <w:t xml:space="preserve"> zijn</w:t>
      </w:r>
      <w:r w:rsidRPr="0024321B">
        <w:rPr>
          <w:bCs/>
          <w:lang w:val="nl-NL"/>
        </w:rPr>
        <w:t xml:space="preserve"> omdat de bewoners niet kunnen uitstromen omdat ze geen woning vinden. Intussen is het aantal collectieve opvangplaatsen juist sterk gestegen om het hoofd te bieden aan de actuele opvangcrisis.</w:t>
      </w:r>
      <w:r w:rsidRPr="0024321B">
        <w:rPr>
          <w:lang w:val="nl-NL"/>
        </w:rPr>
        <w:t xml:space="preserve"> Toch is er maar weinig bereidheid bij de lokale besturen om bijkomende LOI-plaatsen te openen. Bij elke voorgaande opvangcrisis hebben de lokale besturen nochtans steeds op vrijwillige basis een belangrijke inspanning geleverd om bijkomende LOI-plaatsen te openen.</w:t>
      </w:r>
    </w:p>
    <w:p w14:paraId="12E61144" w14:textId="7007BA8C" w:rsidR="00024353" w:rsidRDefault="00D8744A" w:rsidP="00E10CE1">
      <w:pPr>
        <w:pStyle w:val="1Titel1VVSG"/>
      </w:pPr>
      <w:r w:rsidRPr="00D8744A">
        <w:t>Weinig bereidheid bij de lokale besturen om LOI-plaatsen te openen</w:t>
      </w:r>
      <w:r w:rsidR="00024353">
        <w:t xml:space="preserve"> </w:t>
      </w:r>
    </w:p>
    <w:p w14:paraId="408D2C2E" w14:textId="703F30F2" w:rsidR="00E10CE1" w:rsidRDefault="00E10CE1" w:rsidP="00E10CE1">
      <w:r w:rsidRPr="00840147">
        <w:t>Dat er zo weinig animo is om bijkomende LOI-plaatsen te openen, heeft meerdere redenen. De belangrijkste is het gebrek aan een duidelijk kader en het ‘jo-jo-beleid’</w:t>
      </w:r>
      <w:r w:rsidRPr="00840147">
        <w:rPr>
          <w:b/>
          <w:bCs/>
        </w:rPr>
        <w:t xml:space="preserve"> </w:t>
      </w:r>
      <w:r w:rsidRPr="00840147">
        <w:t xml:space="preserve">van de afgelopen jaren. Bij de vorige opvangcrisis in 2016 werd aanvankelijk gevraagd om 5.000 bijkomende LOI-plaatsen te openen. Omdat er </w:t>
      </w:r>
      <w:r>
        <w:t>onvoldoende</w:t>
      </w:r>
      <w:r w:rsidRPr="00840147">
        <w:t xml:space="preserve"> vertrouwen in de lokale besturen</w:t>
      </w:r>
      <w:r w:rsidR="00307BC1">
        <w:t xml:space="preserve"> was</w:t>
      </w:r>
      <w:r w:rsidRPr="00840147">
        <w:t xml:space="preserve">, werd er een verplicht spreidingsplan voor LOI-plaatsen uitgewerkt. Dat is nooit geactiveerd omdat de lokale besturen de gevraagde LOI-plaatsen al op vrijwillige basis geopend hadden. Vervolgens bleven heel wat van die </w:t>
      </w:r>
      <w:r w:rsidR="00724252">
        <w:t>LOI-</w:t>
      </w:r>
      <w:r w:rsidRPr="00840147">
        <w:t xml:space="preserve">plaatsen leeg staan terwijl de bezettingsgraad in de collectieve opvangcentra bijzonder hoog was. </w:t>
      </w:r>
      <w:r>
        <w:t>D</w:t>
      </w:r>
      <w:r w:rsidRPr="00F111BD">
        <w:t xml:space="preserve">e federale regering </w:t>
      </w:r>
      <w:r>
        <w:t>gaf immers voorrang aan</w:t>
      </w:r>
      <w:r w:rsidRPr="00F111BD">
        <w:t xml:space="preserve"> collectieve opvang omdat kleinschalige opvang in LOI een aanzuigeffect zou hebben</w:t>
      </w:r>
      <w:r>
        <w:t>.</w:t>
      </w:r>
      <w:r w:rsidRPr="007835DF">
        <w:t xml:space="preserve"> </w:t>
      </w:r>
      <w:r>
        <w:t xml:space="preserve">Leegstand heeft financiële gevolgen en is lokaal moeilijk te verantwoorden bij de krapte op de huisvestingsmarkt. </w:t>
      </w:r>
      <w:r w:rsidRPr="00840147">
        <w:t>Naar het einde van de opvangcrisis werd beslist om het opvangnetwerk af te bouwen. Tijdens die afbouw, kwam dan de vraag om de LOI-plaatsen alsnog open te houden</w:t>
      </w:r>
      <w:r w:rsidR="00985DF4">
        <w:t xml:space="preserve"> omdat er alweer nood was aan bijkomende opvangplaatsen</w:t>
      </w:r>
      <w:r w:rsidRPr="00840147">
        <w:t xml:space="preserve">. Daarmee was de vertrouwensbreuk </w:t>
      </w:r>
      <w:r>
        <w:t>een feit</w:t>
      </w:r>
      <w:r w:rsidRPr="00840147">
        <w:t xml:space="preserve">. </w:t>
      </w:r>
    </w:p>
    <w:p w14:paraId="61B49052" w14:textId="77777777" w:rsidR="00985DF4" w:rsidRDefault="00985DF4" w:rsidP="00E10CE1"/>
    <w:p w14:paraId="0A8BEC0C" w14:textId="3AFEE043" w:rsidR="009D4C08" w:rsidRPr="00F97939" w:rsidRDefault="00E10CE1" w:rsidP="00E10CE1">
      <w:r w:rsidRPr="00840147">
        <w:t xml:space="preserve">Opeenvolgende staatssecretarissen hebben </w:t>
      </w:r>
      <w:r>
        <w:t>verklaard d</w:t>
      </w:r>
      <w:r w:rsidRPr="00840147">
        <w:t xml:space="preserve">at de lokale besturen absoluut een belangrijke partner in het opvangbeleid zijn en dat ze het vertrouwen </w:t>
      </w:r>
      <w:r w:rsidR="00985DF4">
        <w:t xml:space="preserve">van de lokale besturen in het federale opvangbeleid </w:t>
      </w:r>
      <w:r w:rsidRPr="00840147">
        <w:t>willen herstellen</w:t>
      </w:r>
      <w:r w:rsidR="00985DF4">
        <w:t xml:space="preserve"> in overleg met die lokale besturen</w:t>
      </w:r>
      <w:r w:rsidRPr="00840147">
        <w:t xml:space="preserve">. Toch heeft het tot </w:t>
      </w:r>
      <w:r w:rsidR="00ED7436">
        <w:t>oktober 2023</w:t>
      </w:r>
      <w:r w:rsidRPr="00840147">
        <w:t xml:space="preserve"> geduurd voor er concrete stappen gezet werden rekening </w:t>
      </w:r>
      <w:r w:rsidRPr="00840147">
        <w:lastRenderedPageBreak/>
        <w:t>houdend met de vragen van de lokale besturen.</w:t>
      </w:r>
      <w:r>
        <w:t xml:space="preserve"> N</w:t>
      </w:r>
      <w:r w:rsidRPr="00F97939">
        <w:t>u</w:t>
      </w:r>
      <w:r w:rsidRPr="0024321B">
        <w:t xml:space="preserve"> </w:t>
      </w:r>
      <w:r>
        <w:t xml:space="preserve">zijn er dus eindelijk </w:t>
      </w:r>
      <w:r w:rsidR="00ED7436">
        <w:t xml:space="preserve">de </w:t>
      </w:r>
      <w:r w:rsidR="00B44D27">
        <w:t>broodnodige</w:t>
      </w:r>
      <w:r w:rsidR="00ED7436">
        <w:t xml:space="preserve"> </w:t>
      </w:r>
      <w:r w:rsidRPr="0024321B">
        <w:t xml:space="preserve">maatregelen </w:t>
      </w:r>
      <w:r w:rsidR="00B44D27">
        <w:t>gericht op een verbeterde</w:t>
      </w:r>
      <w:r w:rsidRPr="0024321B">
        <w:t xml:space="preserve"> financiering </w:t>
      </w:r>
      <w:r>
        <w:t xml:space="preserve">van de LOI </w:t>
      </w:r>
      <w:r w:rsidRPr="0024321B">
        <w:t xml:space="preserve">en </w:t>
      </w:r>
      <w:r>
        <w:t>op het verhogen van d</w:t>
      </w:r>
      <w:r w:rsidRPr="0024321B">
        <w:t xml:space="preserve">e </w:t>
      </w:r>
      <w:r>
        <w:t>stabiliteit</w:t>
      </w:r>
      <w:r w:rsidR="00B44D27">
        <w:t xml:space="preserve"> en de zekerheid</w:t>
      </w:r>
      <w:r w:rsidRPr="0024321B">
        <w:t>.</w:t>
      </w:r>
      <w:r>
        <w:t xml:space="preserve"> Deze maatregelen moeten het vertrouwen herstellen en de lokale besturen ertoe aanzetten om LOI-plaatsen te openen. </w:t>
      </w:r>
    </w:p>
    <w:p w14:paraId="18B668DA" w14:textId="77777777" w:rsidR="00E10CE1" w:rsidRPr="003D47ED" w:rsidRDefault="00E10CE1" w:rsidP="00E10CE1">
      <w:pPr>
        <w:pStyle w:val="1Titel1VVSG"/>
      </w:pPr>
      <w:r>
        <w:t>Het pakket LOI-</w:t>
      </w:r>
      <w:r w:rsidRPr="003D47ED">
        <w:t>maatregelen</w:t>
      </w:r>
    </w:p>
    <w:p w14:paraId="28E120FB" w14:textId="6925000F" w:rsidR="00E10CE1" w:rsidRDefault="00E10CE1" w:rsidP="00E10CE1">
      <w:pPr>
        <w:pStyle w:val="11Titel2VVSG"/>
      </w:pPr>
      <w:r>
        <w:t xml:space="preserve">Betere financiering van de LOI-plaatsen </w:t>
      </w:r>
    </w:p>
    <w:p w14:paraId="4412682D" w14:textId="5C27E817" w:rsidR="00E34A1B" w:rsidRDefault="00E34A1B" w:rsidP="00E34A1B">
      <w:pPr>
        <w:pStyle w:val="BodytekstVVSG"/>
      </w:pPr>
    </w:p>
    <w:p w14:paraId="2564089A" w14:textId="3BBCE795" w:rsidR="00E34A1B" w:rsidRPr="00E34A1B" w:rsidRDefault="005C2CA1" w:rsidP="00E34A1B">
      <w:pPr>
        <w:pStyle w:val="BodytekstVVSG"/>
      </w:pPr>
      <w:r w:rsidRPr="001C278C">
        <w:rPr>
          <w:b/>
          <w:bCs/>
        </w:rPr>
        <w:t>D</w:t>
      </w:r>
      <w:r w:rsidR="00E34A1B" w:rsidRPr="001C278C">
        <w:rPr>
          <w:b/>
          <w:bCs/>
        </w:rPr>
        <w:t xml:space="preserve">e </w:t>
      </w:r>
      <w:r w:rsidRPr="001C278C">
        <w:rPr>
          <w:b/>
          <w:bCs/>
        </w:rPr>
        <w:t>subsidiebedragen</w:t>
      </w:r>
      <w:r w:rsidR="00E34A1B" w:rsidRPr="001C278C">
        <w:rPr>
          <w:b/>
          <w:bCs/>
        </w:rPr>
        <w:t xml:space="preserve"> word</w:t>
      </w:r>
      <w:r w:rsidRPr="001C278C">
        <w:rPr>
          <w:b/>
          <w:bCs/>
        </w:rPr>
        <w:t>en</w:t>
      </w:r>
      <w:r>
        <w:t xml:space="preserve"> </w:t>
      </w:r>
      <w:r w:rsidR="00E34A1B" w:rsidRPr="001C278C">
        <w:rPr>
          <w:b/>
          <w:bCs/>
        </w:rPr>
        <w:t>verhoogd</w:t>
      </w:r>
      <w:r w:rsidR="00E34A1B">
        <w:t>.</w:t>
      </w:r>
    </w:p>
    <w:p w14:paraId="5FBB06FD" w14:textId="7F5AA10E" w:rsidR="00E10CE1" w:rsidRDefault="00E10CE1" w:rsidP="00E10CE1">
      <w:pPr>
        <w:pStyle w:val="Lijstalinea"/>
        <w:numPr>
          <w:ilvl w:val="0"/>
          <w:numId w:val="24"/>
        </w:numPr>
        <w:spacing w:after="160" w:line="259" w:lineRule="auto"/>
      </w:pPr>
      <w:r>
        <w:t xml:space="preserve">de subsidie per dag per plaats </w:t>
      </w:r>
      <w:r w:rsidR="00E34A1B">
        <w:t>stijgt</w:t>
      </w:r>
      <w:r>
        <w:t xml:space="preserve"> met 5% </w:t>
      </w:r>
    </w:p>
    <w:p w14:paraId="2507EE87" w14:textId="22B38DC9" w:rsidR="00E10CE1" w:rsidRDefault="00E10CE1" w:rsidP="00E10CE1">
      <w:pPr>
        <w:pStyle w:val="Lijstalinea"/>
        <w:numPr>
          <w:ilvl w:val="0"/>
          <w:numId w:val="24"/>
        </w:numPr>
        <w:spacing w:after="160" w:line="259" w:lineRule="auto"/>
      </w:pPr>
      <w:r>
        <w:t xml:space="preserve">de leegstandsvergoeding stijgt van 40% naar 50% van de subsidie (in tabel niet bezet): </w:t>
      </w:r>
      <w:r w:rsidR="00E65E27">
        <w:t>I</w:t>
      </w:r>
      <w:r>
        <w:t>n dit geval is de LOI-plaats beschikbaar maar wordt er geen bewoner toegewezen door Fedasil</w:t>
      </w:r>
      <w:r w:rsidR="00E65E27">
        <w:t>.</w:t>
      </w:r>
    </w:p>
    <w:p w14:paraId="3C5689FC" w14:textId="46CABE93" w:rsidR="00E10CE1" w:rsidRDefault="00E10CE1" w:rsidP="00E10CE1">
      <w:pPr>
        <w:pStyle w:val="Lijstalinea"/>
        <w:numPr>
          <w:ilvl w:val="0"/>
          <w:numId w:val="24"/>
        </w:numPr>
        <w:spacing w:after="160" w:line="259" w:lineRule="auto"/>
      </w:pPr>
      <w:r>
        <w:t xml:space="preserve">de vergoeding voor een verliesplaats of bij procedure uithuiszetting stijgt van 40% naar 50% van de subsidie (in tabel niet bezet): </w:t>
      </w:r>
      <w:r w:rsidR="00920BC4">
        <w:t>I</w:t>
      </w:r>
      <w:r>
        <w:t>n dit geval kan er door omstandigheden geen bewoner toegewezen worden aan de LOI-plaats (bijv. familie van 3 in LOI van 4 plaatsen = 1 verliesplaats) of weigert de bewoner waarvan het recht op opvang eindigt het LOI te verlaten en moet de uithuiszetting aangevraagd worden bij de vrederechter</w:t>
      </w:r>
      <w:r w:rsidR="00920BC4">
        <w:t>.</w:t>
      </w:r>
    </w:p>
    <w:p w14:paraId="2C350953" w14:textId="3EC859E7" w:rsidR="00920BC4" w:rsidRDefault="00920BC4" w:rsidP="00E10CE1">
      <w:pPr>
        <w:pStyle w:val="Lijstalinea"/>
        <w:numPr>
          <w:ilvl w:val="0"/>
          <w:numId w:val="24"/>
        </w:numPr>
        <w:spacing w:after="160" w:line="259" w:lineRule="auto"/>
      </w:pPr>
      <w:r w:rsidRPr="00920BC4">
        <w:t xml:space="preserve">een hogere subsidie per dag per plaats voor bewoners met specifieke noden (gedifferentieerd persoonsgebonden tarief): </w:t>
      </w:r>
      <w:r w:rsidR="00B25776">
        <w:t>D</w:t>
      </w:r>
      <w:r w:rsidRPr="00920BC4">
        <w:t>it geldt enkel voor de bewoner zelf en niet voor zijn familieleden. Fedasil zal dit verder uitwerken in een instructie</w:t>
      </w:r>
      <w:r>
        <w:t>.</w:t>
      </w:r>
    </w:p>
    <w:p w14:paraId="03075708" w14:textId="0768666D" w:rsidR="00B25776" w:rsidRDefault="00B25776" w:rsidP="00B25776">
      <w:pPr>
        <w:spacing w:after="160" w:line="259" w:lineRule="auto"/>
        <w:ind w:left="360"/>
      </w:pPr>
      <w:r>
        <w:t>De bedragen worden telkens op 1 jan</w:t>
      </w:r>
      <w:r w:rsidR="002C4146">
        <w:t>uari geïndexeerd.</w:t>
      </w:r>
    </w:p>
    <w:tbl>
      <w:tblPr>
        <w:tblStyle w:val="Tabelraster"/>
        <w:tblpPr w:leftFromText="141" w:rightFromText="141" w:vertAnchor="text" w:horzAnchor="page" w:tblpX="1801" w:tblpY="196"/>
        <w:tblW w:w="9634" w:type="dxa"/>
        <w:tblLayout w:type="fixed"/>
        <w:tblLook w:val="04A0" w:firstRow="1" w:lastRow="0" w:firstColumn="1" w:lastColumn="0" w:noHBand="0" w:noVBand="1"/>
      </w:tblPr>
      <w:tblGrid>
        <w:gridCol w:w="2758"/>
        <w:gridCol w:w="1332"/>
        <w:gridCol w:w="1901"/>
        <w:gridCol w:w="1801"/>
        <w:gridCol w:w="1842"/>
      </w:tblGrid>
      <w:tr w:rsidR="002C4146" w14:paraId="3335BE2A" w14:textId="77777777" w:rsidTr="002C4146">
        <w:trPr>
          <w:trHeight w:val="1050"/>
        </w:trPr>
        <w:tc>
          <w:tcPr>
            <w:tcW w:w="2758" w:type="dxa"/>
          </w:tcPr>
          <w:p w14:paraId="331789EB" w14:textId="77777777" w:rsidR="002C4146" w:rsidRDefault="002C4146" w:rsidP="002C4146"/>
        </w:tc>
        <w:tc>
          <w:tcPr>
            <w:tcW w:w="1332" w:type="dxa"/>
          </w:tcPr>
          <w:p w14:paraId="2912D7B6" w14:textId="77777777" w:rsidR="002C4146" w:rsidRPr="009C07CB" w:rsidRDefault="002C4146" w:rsidP="002C4146">
            <w:pPr>
              <w:jc w:val="center"/>
              <w:rPr>
                <w:color w:val="FF0000"/>
              </w:rPr>
            </w:pPr>
            <w:r w:rsidRPr="009C07CB">
              <w:rPr>
                <w:color w:val="FF0000"/>
              </w:rPr>
              <w:t>Nieuw KB</w:t>
            </w:r>
          </w:p>
        </w:tc>
        <w:tc>
          <w:tcPr>
            <w:tcW w:w="1901" w:type="dxa"/>
          </w:tcPr>
          <w:p w14:paraId="52EA24B4" w14:textId="77777777" w:rsidR="002C4146" w:rsidRPr="009C07CB" w:rsidRDefault="002C4146" w:rsidP="002C4146">
            <w:pPr>
              <w:jc w:val="center"/>
              <w:rPr>
                <w:color w:val="FF0000"/>
              </w:rPr>
            </w:pPr>
            <w:r w:rsidRPr="009C07CB">
              <w:rPr>
                <w:color w:val="FF0000"/>
              </w:rPr>
              <w:t>Nieuw KB</w:t>
            </w:r>
          </w:p>
        </w:tc>
        <w:tc>
          <w:tcPr>
            <w:tcW w:w="1801" w:type="dxa"/>
          </w:tcPr>
          <w:p w14:paraId="7B8EE115" w14:textId="77777777" w:rsidR="002C4146" w:rsidRDefault="002C4146" w:rsidP="002C4146">
            <w:pPr>
              <w:jc w:val="center"/>
            </w:pPr>
            <w:r>
              <w:t>2023 - Tot inwerkingtreding nieuw KB</w:t>
            </w:r>
          </w:p>
        </w:tc>
        <w:tc>
          <w:tcPr>
            <w:tcW w:w="1842" w:type="dxa"/>
          </w:tcPr>
          <w:p w14:paraId="335DDEB6" w14:textId="77777777" w:rsidR="002C4146" w:rsidRDefault="002C4146" w:rsidP="002C4146">
            <w:pPr>
              <w:jc w:val="center"/>
            </w:pPr>
            <w:r>
              <w:t xml:space="preserve">2023 - </w:t>
            </w:r>
            <w:r w:rsidRPr="009C07CB">
              <w:t>Tot inwerkingtreding</w:t>
            </w:r>
            <w:r>
              <w:t xml:space="preserve"> nieuw KB</w:t>
            </w:r>
          </w:p>
        </w:tc>
      </w:tr>
      <w:tr w:rsidR="002C4146" w14:paraId="70C55D1B" w14:textId="77777777" w:rsidTr="002C4146">
        <w:trPr>
          <w:trHeight w:val="265"/>
        </w:trPr>
        <w:tc>
          <w:tcPr>
            <w:tcW w:w="2758" w:type="dxa"/>
          </w:tcPr>
          <w:p w14:paraId="2FCD2720" w14:textId="77777777" w:rsidR="002C4146" w:rsidRDefault="002C4146" w:rsidP="002C4146"/>
        </w:tc>
        <w:tc>
          <w:tcPr>
            <w:tcW w:w="1332" w:type="dxa"/>
          </w:tcPr>
          <w:p w14:paraId="6C62D69B" w14:textId="77777777" w:rsidR="002C4146" w:rsidRPr="009C07CB" w:rsidRDefault="002C4146" w:rsidP="002C4146">
            <w:pPr>
              <w:jc w:val="center"/>
              <w:rPr>
                <w:b/>
                <w:bCs/>
              </w:rPr>
            </w:pPr>
            <w:r w:rsidRPr="009C07CB">
              <w:rPr>
                <w:b/>
                <w:bCs/>
              </w:rPr>
              <w:t>Bezet</w:t>
            </w:r>
          </w:p>
        </w:tc>
        <w:tc>
          <w:tcPr>
            <w:tcW w:w="1901" w:type="dxa"/>
          </w:tcPr>
          <w:p w14:paraId="26CFEC4D" w14:textId="77777777" w:rsidR="002C4146" w:rsidRPr="009C07CB" w:rsidRDefault="002C4146" w:rsidP="002C4146">
            <w:pPr>
              <w:jc w:val="center"/>
              <w:rPr>
                <w:b/>
                <w:bCs/>
              </w:rPr>
            </w:pPr>
            <w:r w:rsidRPr="009C07CB">
              <w:rPr>
                <w:b/>
                <w:bCs/>
              </w:rPr>
              <w:t>Niet bezet</w:t>
            </w:r>
            <w:r>
              <w:rPr>
                <w:b/>
                <w:bCs/>
              </w:rPr>
              <w:t xml:space="preserve"> (50%)</w:t>
            </w:r>
          </w:p>
        </w:tc>
        <w:tc>
          <w:tcPr>
            <w:tcW w:w="1801" w:type="dxa"/>
          </w:tcPr>
          <w:p w14:paraId="11A90058" w14:textId="77777777" w:rsidR="002C4146" w:rsidRPr="009C07CB" w:rsidRDefault="002C4146" w:rsidP="002C4146">
            <w:pPr>
              <w:jc w:val="center"/>
              <w:rPr>
                <w:b/>
                <w:bCs/>
              </w:rPr>
            </w:pPr>
            <w:r w:rsidRPr="009C07CB">
              <w:rPr>
                <w:b/>
                <w:bCs/>
              </w:rPr>
              <w:t>Bezet</w:t>
            </w:r>
          </w:p>
        </w:tc>
        <w:tc>
          <w:tcPr>
            <w:tcW w:w="1842" w:type="dxa"/>
          </w:tcPr>
          <w:p w14:paraId="1B7EF68E" w14:textId="77777777" w:rsidR="002C4146" w:rsidRPr="009C07CB" w:rsidRDefault="002C4146" w:rsidP="002C4146">
            <w:pPr>
              <w:jc w:val="center"/>
              <w:rPr>
                <w:b/>
                <w:bCs/>
              </w:rPr>
            </w:pPr>
            <w:r w:rsidRPr="009C07CB">
              <w:rPr>
                <w:b/>
                <w:bCs/>
              </w:rPr>
              <w:t>Niet Bezet</w:t>
            </w:r>
            <w:r>
              <w:rPr>
                <w:b/>
                <w:bCs/>
              </w:rPr>
              <w:t xml:space="preserve"> (50%)</w:t>
            </w:r>
          </w:p>
        </w:tc>
      </w:tr>
      <w:tr w:rsidR="002C4146" w14:paraId="03264327" w14:textId="77777777" w:rsidTr="002C4146">
        <w:trPr>
          <w:trHeight w:val="265"/>
        </w:trPr>
        <w:tc>
          <w:tcPr>
            <w:tcW w:w="2758" w:type="dxa"/>
          </w:tcPr>
          <w:p w14:paraId="5E91C580" w14:textId="77777777" w:rsidR="002C4146" w:rsidRPr="009C07CB" w:rsidRDefault="002C4146" w:rsidP="002C4146">
            <w:pPr>
              <w:rPr>
                <w:b/>
                <w:bCs/>
              </w:rPr>
            </w:pPr>
            <w:r w:rsidRPr="009C07CB">
              <w:rPr>
                <w:b/>
                <w:bCs/>
              </w:rPr>
              <w:t>Volwassene</w:t>
            </w:r>
          </w:p>
        </w:tc>
        <w:tc>
          <w:tcPr>
            <w:tcW w:w="1332" w:type="dxa"/>
          </w:tcPr>
          <w:p w14:paraId="1952A089" w14:textId="77777777" w:rsidR="002C4146" w:rsidRDefault="002C4146" w:rsidP="002C4146">
            <w:pPr>
              <w:jc w:val="center"/>
            </w:pPr>
            <w:r>
              <w:t>49,31</w:t>
            </w:r>
          </w:p>
        </w:tc>
        <w:tc>
          <w:tcPr>
            <w:tcW w:w="1901" w:type="dxa"/>
          </w:tcPr>
          <w:p w14:paraId="11E563DD" w14:textId="77777777" w:rsidR="002C4146" w:rsidRDefault="002C4146" w:rsidP="002C4146">
            <w:pPr>
              <w:jc w:val="center"/>
            </w:pPr>
            <w:r>
              <w:t>24,66</w:t>
            </w:r>
          </w:p>
        </w:tc>
        <w:tc>
          <w:tcPr>
            <w:tcW w:w="1801" w:type="dxa"/>
          </w:tcPr>
          <w:p w14:paraId="2834E2B0" w14:textId="77777777" w:rsidR="002C4146" w:rsidRDefault="002C4146" w:rsidP="002C4146">
            <w:pPr>
              <w:jc w:val="center"/>
            </w:pPr>
            <w:r>
              <w:t>46,96</w:t>
            </w:r>
          </w:p>
        </w:tc>
        <w:tc>
          <w:tcPr>
            <w:tcW w:w="1842" w:type="dxa"/>
          </w:tcPr>
          <w:p w14:paraId="0FE945C5" w14:textId="77777777" w:rsidR="002C4146" w:rsidRDefault="002C4146" w:rsidP="002C4146">
            <w:pPr>
              <w:jc w:val="center"/>
            </w:pPr>
            <w:r>
              <w:t>18,78</w:t>
            </w:r>
          </w:p>
        </w:tc>
      </w:tr>
      <w:tr w:rsidR="002C4146" w14:paraId="0B7F535D" w14:textId="77777777" w:rsidTr="002C4146">
        <w:trPr>
          <w:trHeight w:val="265"/>
        </w:trPr>
        <w:tc>
          <w:tcPr>
            <w:tcW w:w="2758" w:type="dxa"/>
          </w:tcPr>
          <w:p w14:paraId="6DEAE590" w14:textId="77777777" w:rsidR="002C4146" w:rsidRPr="009C07CB" w:rsidRDefault="002C4146" w:rsidP="002C4146">
            <w:pPr>
              <w:rPr>
                <w:b/>
                <w:bCs/>
              </w:rPr>
            </w:pPr>
            <w:r w:rsidRPr="009C07CB">
              <w:rPr>
                <w:b/>
                <w:bCs/>
              </w:rPr>
              <w:t>Begeleide minderjarige</w:t>
            </w:r>
          </w:p>
        </w:tc>
        <w:tc>
          <w:tcPr>
            <w:tcW w:w="1332" w:type="dxa"/>
          </w:tcPr>
          <w:p w14:paraId="6775C092" w14:textId="77777777" w:rsidR="002C4146" w:rsidRDefault="002C4146" w:rsidP="002C4146">
            <w:pPr>
              <w:jc w:val="center"/>
            </w:pPr>
            <w:r>
              <w:t>27,14</w:t>
            </w:r>
          </w:p>
        </w:tc>
        <w:tc>
          <w:tcPr>
            <w:tcW w:w="1901" w:type="dxa"/>
          </w:tcPr>
          <w:p w14:paraId="2B698A2A" w14:textId="77777777" w:rsidR="002C4146" w:rsidRDefault="002C4146" w:rsidP="002C4146">
            <w:pPr>
              <w:jc w:val="center"/>
            </w:pPr>
            <w:r>
              <w:t>13,57</w:t>
            </w:r>
          </w:p>
        </w:tc>
        <w:tc>
          <w:tcPr>
            <w:tcW w:w="1801" w:type="dxa"/>
          </w:tcPr>
          <w:p w14:paraId="0AE64108" w14:textId="77777777" w:rsidR="002C4146" w:rsidRDefault="002C4146" w:rsidP="002C4146">
            <w:pPr>
              <w:jc w:val="center"/>
            </w:pPr>
            <w:r>
              <w:t>25,85</w:t>
            </w:r>
          </w:p>
        </w:tc>
        <w:tc>
          <w:tcPr>
            <w:tcW w:w="1842" w:type="dxa"/>
          </w:tcPr>
          <w:p w14:paraId="3E59863B" w14:textId="77777777" w:rsidR="002C4146" w:rsidRDefault="002C4146" w:rsidP="002C4146">
            <w:pPr>
              <w:jc w:val="center"/>
            </w:pPr>
            <w:r>
              <w:t>10,34</w:t>
            </w:r>
          </w:p>
        </w:tc>
      </w:tr>
      <w:tr w:rsidR="002C4146" w14:paraId="1E26DD86" w14:textId="77777777" w:rsidTr="002C4146">
        <w:trPr>
          <w:trHeight w:val="265"/>
        </w:trPr>
        <w:tc>
          <w:tcPr>
            <w:tcW w:w="2758" w:type="dxa"/>
          </w:tcPr>
          <w:p w14:paraId="2EADC6AA" w14:textId="77777777" w:rsidR="002C4146" w:rsidRPr="009C07CB" w:rsidRDefault="002C4146" w:rsidP="002C4146">
            <w:pPr>
              <w:rPr>
                <w:b/>
                <w:bCs/>
              </w:rPr>
            </w:pPr>
            <w:r w:rsidRPr="009C07CB">
              <w:rPr>
                <w:b/>
                <w:bCs/>
              </w:rPr>
              <w:t>NBM (collectieve opvang)</w:t>
            </w:r>
          </w:p>
        </w:tc>
        <w:tc>
          <w:tcPr>
            <w:tcW w:w="1332" w:type="dxa"/>
          </w:tcPr>
          <w:p w14:paraId="5BAB4438" w14:textId="77777777" w:rsidR="002C4146" w:rsidRDefault="002C4146" w:rsidP="002C4146">
            <w:pPr>
              <w:jc w:val="center"/>
            </w:pPr>
            <w:r>
              <w:t>104,50</w:t>
            </w:r>
          </w:p>
        </w:tc>
        <w:tc>
          <w:tcPr>
            <w:tcW w:w="1901" w:type="dxa"/>
          </w:tcPr>
          <w:p w14:paraId="5464F7BA" w14:textId="77777777" w:rsidR="002C4146" w:rsidRDefault="002C4146" w:rsidP="002C4146">
            <w:pPr>
              <w:jc w:val="center"/>
            </w:pPr>
            <w:r>
              <w:t>52,25</w:t>
            </w:r>
          </w:p>
        </w:tc>
        <w:tc>
          <w:tcPr>
            <w:tcW w:w="1801" w:type="dxa"/>
          </w:tcPr>
          <w:p w14:paraId="40807D2D" w14:textId="77777777" w:rsidR="002C4146" w:rsidRDefault="002C4146" w:rsidP="002C4146">
            <w:pPr>
              <w:jc w:val="center"/>
            </w:pPr>
            <w:r>
              <w:t>99,78</w:t>
            </w:r>
          </w:p>
        </w:tc>
        <w:tc>
          <w:tcPr>
            <w:tcW w:w="1842" w:type="dxa"/>
          </w:tcPr>
          <w:p w14:paraId="1C4F02B0" w14:textId="77777777" w:rsidR="002C4146" w:rsidRDefault="002C4146" w:rsidP="002C4146">
            <w:pPr>
              <w:jc w:val="center"/>
            </w:pPr>
            <w:r>
              <w:t>39,91</w:t>
            </w:r>
          </w:p>
        </w:tc>
      </w:tr>
      <w:tr w:rsidR="002C4146" w14:paraId="330298CE" w14:textId="77777777" w:rsidTr="002C4146">
        <w:trPr>
          <w:trHeight w:val="265"/>
        </w:trPr>
        <w:tc>
          <w:tcPr>
            <w:tcW w:w="2758" w:type="dxa"/>
          </w:tcPr>
          <w:p w14:paraId="540D3160" w14:textId="77777777" w:rsidR="002C4146" w:rsidRPr="009C07CB" w:rsidRDefault="002C4146" w:rsidP="002C4146">
            <w:pPr>
              <w:rPr>
                <w:b/>
                <w:bCs/>
              </w:rPr>
            </w:pPr>
            <w:r w:rsidRPr="009C07CB">
              <w:rPr>
                <w:b/>
                <w:bCs/>
              </w:rPr>
              <w:t>NBM (individuele opvang)</w:t>
            </w:r>
          </w:p>
        </w:tc>
        <w:tc>
          <w:tcPr>
            <w:tcW w:w="1332" w:type="dxa"/>
          </w:tcPr>
          <w:p w14:paraId="192C0598" w14:textId="77777777" w:rsidR="002C4146" w:rsidRDefault="002C4146" w:rsidP="002C4146">
            <w:pPr>
              <w:jc w:val="center"/>
            </w:pPr>
            <w:r>
              <w:t>88,50</w:t>
            </w:r>
          </w:p>
        </w:tc>
        <w:tc>
          <w:tcPr>
            <w:tcW w:w="1901" w:type="dxa"/>
          </w:tcPr>
          <w:p w14:paraId="48DF6A44" w14:textId="77777777" w:rsidR="002C4146" w:rsidRDefault="002C4146" w:rsidP="002C4146">
            <w:pPr>
              <w:jc w:val="center"/>
            </w:pPr>
            <w:r>
              <w:t>44,25</w:t>
            </w:r>
          </w:p>
        </w:tc>
        <w:tc>
          <w:tcPr>
            <w:tcW w:w="1801" w:type="dxa"/>
          </w:tcPr>
          <w:p w14:paraId="3DFC8892" w14:textId="77777777" w:rsidR="002C4146" w:rsidRDefault="002C4146" w:rsidP="002C4146">
            <w:pPr>
              <w:jc w:val="center"/>
            </w:pPr>
            <w:r>
              <w:t>84,29</w:t>
            </w:r>
          </w:p>
        </w:tc>
        <w:tc>
          <w:tcPr>
            <w:tcW w:w="1842" w:type="dxa"/>
          </w:tcPr>
          <w:p w14:paraId="1C102906" w14:textId="77777777" w:rsidR="002C4146" w:rsidRDefault="002C4146" w:rsidP="002C4146">
            <w:pPr>
              <w:jc w:val="center"/>
            </w:pPr>
            <w:r>
              <w:t>33,72</w:t>
            </w:r>
          </w:p>
        </w:tc>
      </w:tr>
      <w:tr w:rsidR="002C4146" w14:paraId="268BDC8F" w14:textId="77777777" w:rsidTr="002C4146">
        <w:trPr>
          <w:trHeight w:val="265"/>
        </w:trPr>
        <w:tc>
          <w:tcPr>
            <w:tcW w:w="2758" w:type="dxa"/>
          </w:tcPr>
          <w:p w14:paraId="05ACF792" w14:textId="77777777" w:rsidR="002C4146" w:rsidRPr="009C07CB" w:rsidRDefault="002C4146" w:rsidP="002C4146">
            <w:pPr>
              <w:rPr>
                <w:b/>
                <w:bCs/>
              </w:rPr>
            </w:pPr>
            <w:r w:rsidRPr="009C07CB">
              <w:rPr>
                <w:b/>
                <w:bCs/>
              </w:rPr>
              <w:t>Persoonsgebonden tarief</w:t>
            </w:r>
          </w:p>
        </w:tc>
        <w:tc>
          <w:tcPr>
            <w:tcW w:w="1332" w:type="dxa"/>
          </w:tcPr>
          <w:p w14:paraId="57A2629F" w14:textId="77777777" w:rsidR="002C4146" w:rsidRDefault="002C4146" w:rsidP="002C4146">
            <w:pPr>
              <w:jc w:val="center"/>
            </w:pPr>
            <w:r>
              <w:t>88,50</w:t>
            </w:r>
          </w:p>
        </w:tc>
        <w:tc>
          <w:tcPr>
            <w:tcW w:w="1901" w:type="dxa"/>
          </w:tcPr>
          <w:p w14:paraId="0BAE4BA6" w14:textId="77777777" w:rsidR="002C4146" w:rsidRDefault="002C4146" w:rsidP="002C4146">
            <w:pPr>
              <w:jc w:val="center"/>
            </w:pPr>
            <w:r>
              <w:t>/</w:t>
            </w:r>
          </w:p>
        </w:tc>
        <w:tc>
          <w:tcPr>
            <w:tcW w:w="1801" w:type="dxa"/>
          </w:tcPr>
          <w:p w14:paraId="3898E9A2" w14:textId="77777777" w:rsidR="002C4146" w:rsidRDefault="002C4146" w:rsidP="002C4146">
            <w:pPr>
              <w:jc w:val="center"/>
            </w:pPr>
          </w:p>
        </w:tc>
        <w:tc>
          <w:tcPr>
            <w:tcW w:w="1842" w:type="dxa"/>
          </w:tcPr>
          <w:p w14:paraId="5D47CCE2" w14:textId="77777777" w:rsidR="002C4146" w:rsidRDefault="002C4146" w:rsidP="002C4146">
            <w:pPr>
              <w:jc w:val="center"/>
            </w:pPr>
          </w:p>
        </w:tc>
      </w:tr>
    </w:tbl>
    <w:p w14:paraId="12528050" w14:textId="77777777" w:rsidR="00E10CE1" w:rsidRDefault="00E10CE1" w:rsidP="00E10CE1"/>
    <w:p w14:paraId="73729A2E" w14:textId="77777777" w:rsidR="00B25776" w:rsidRDefault="00B25776" w:rsidP="00E10CE1"/>
    <w:p w14:paraId="5743FFA9" w14:textId="373656F5" w:rsidR="00EC590D" w:rsidRPr="00EC590D" w:rsidRDefault="00E10CE1" w:rsidP="00EC590D">
      <w:pPr>
        <w:rPr>
          <w:lang w:val="nl-BE"/>
        </w:rPr>
      </w:pPr>
      <w:r w:rsidRPr="001C278C">
        <w:rPr>
          <w:b/>
          <w:bCs/>
        </w:rPr>
        <w:t>De subsidie wordt ook forfaitair</w:t>
      </w:r>
      <w:r>
        <w:t xml:space="preserve">. Dat betekent dat er vanaf de inwerkingtreding van de nieuwe regeling geen reserves meer opgebouwd kunnen worden. Er moeten dus ook geen verantwoordingsstukken meer bezorgd worden en er is geen discussie meer over het terugstorten van reserves. De historische reserves die er nog zijn, kunnen binnen het kader van de opvang vrij besteed worden. </w:t>
      </w:r>
      <w:r w:rsidR="008F33A8">
        <w:t xml:space="preserve">Er moet dus geen toestemming meer gevraagd worden aan Fedasil. </w:t>
      </w:r>
      <w:r>
        <w:t xml:space="preserve">Als het LOI </w:t>
      </w:r>
      <w:r w:rsidR="00D25498">
        <w:t xml:space="preserve">later </w:t>
      </w:r>
      <w:r>
        <w:t>volledig sluit en er is nog een historische reserve</w:t>
      </w:r>
      <w:r w:rsidR="00D25498">
        <w:t xml:space="preserve"> over</w:t>
      </w:r>
      <w:r>
        <w:t>, moet die aan Fedasil teruggestort worden. OCMW’s die hun reserve een aantal jaar geleden teruggestort hebben, krijgen die reserves</w:t>
      </w:r>
      <w:r w:rsidR="00EC590D">
        <w:t xml:space="preserve"> jammer genoeg</w:t>
      </w:r>
      <w:r>
        <w:t xml:space="preserve"> niet terug (</w:t>
      </w:r>
      <w:hyperlink r:id="rId11" w:history="1">
        <w:r w:rsidRPr="00696EB4">
          <w:rPr>
            <w:rStyle w:val="Hyperlink"/>
          </w:rPr>
          <w:t>lees hier meer over het terugstorten van de reserves</w:t>
        </w:r>
      </w:hyperlink>
      <w:r>
        <w:t>).</w:t>
      </w:r>
      <w:r w:rsidR="001C278C" w:rsidRPr="001C278C">
        <w:t xml:space="preserve"> </w:t>
      </w:r>
    </w:p>
    <w:p w14:paraId="66FEC122" w14:textId="07AAD803" w:rsidR="00E10CE1" w:rsidRDefault="00E10CE1" w:rsidP="001C278C"/>
    <w:p w14:paraId="56441DE1" w14:textId="513F3AFB" w:rsidR="006A5E0E" w:rsidRDefault="00E10CE1" w:rsidP="00E10CE1">
      <w:r>
        <w:lastRenderedPageBreak/>
        <w:t xml:space="preserve">Het </w:t>
      </w:r>
      <w:r w:rsidRPr="000E0F86">
        <w:rPr>
          <w:b/>
          <w:bCs/>
        </w:rPr>
        <w:t>Impulsfonds</w:t>
      </w:r>
      <w:r>
        <w:t xml:space="preserve"> dat</w:t>
      </w:r>
      <w:r w:rsidRPr="00F111BD">
        <w:t xml:space="preserve"> werd opgericht om lokale besturen die LOI-plaatsen willen openen een extraatje te geven</w:t>
      </w:r>
      <w:r>
        <w:t>,</w:t>
      </w:r>
      <w:r w:rsidRPr="00282248">
        <w:t xml:space="preserve"> </w:t>
      </w:r>
      <w:r>
        <w:t xml:space="preserve">wordt met 845.00 euro versterkt en de besteding wordt verruimd. De bestaande premies bij het openen van een LOI-plaats worden verhoogd. Daarnaast komen er ook premies voor het </w:t>
      </w:r>
      <w:r w:rsidRPr="00AC7F74">
        <w:rPr>
          <w:rFonts w:eastAsiaTheme="minorEastAsia"/>
        </w:rPr>
        <w:t>heropen</w:t>
      </w:r>
      <w:r>
        <w:t xml:space="preserve">en van een LOI-plaats na een </w:t>
      </w:r>
      <w:r w:rsidRPr="00AC7F74">
        <w:rPr>
          <w:rFonts w:eastAsiaTheme="minorEastAsia"/>
        </w:rPr>
        <w:t xml:space="preserve">langdurige </w:t>
      </w:r>
      <w:r>
        <w:t>schorsing</w:t>
      </w:r>
      <w:r w:rsidRPr="00AC7F74">
        <w:rPr>
          <w:rFonts w:eastAsiaTheme="minorEastAsia"/>
        </w:rPr>
        <w:t xml:space="preserve"> en</w:t>
      </w:r>
      <w:r>
        <w:t xml:space="preserve"> voor</w:t>
      </w:r>
      <w:r w:rsidRPr="00AC7F74">
        <w:rPr>
          <w:rFonts w:eastAsiaTheme="minorEastAsia"/>
        </w:rPr>
        <w:t xml:space="preserve"> de renovatie van bestaande plaatsen.</w:t>
      </w:r>
      <w:r w:rsidR="00EA174D">
        <w:rPr>
          <w:rFonts w:eastAsiaTheme="minorEastAsia"/>
        </w:rPr>
        <w:t xml:space="preserve"> Dat is zeker nuttig want eind augustus waren 1758 LOI-plaatsen geschorst.</w:t>
      </w:r>
      <w:r w:rsidRPr="0030435C">
        <w:t xml:space="preserve"> Het KB voorziet nu ook uitdrukkelijk de mogelijkheid voor OCMW’s om samen te werken.</w:t>
      </w:r>
      <w:r>
        <w:t xml:space="preserve"> Mogelijks wordt er ook daarvoor een premie voorzien.</w:t>
      </w:r>
      <w:r w:rsidRPr="0030435C">
        <w:t xml:space="preserve"> </w:t>
      </w:r>
    </w:p>
    <w:p w14:paraId="6BF32B9F" w14:textId="77777777" w:rsidR="00C52373" w:rsidRDefault="00C52373" w:rsidP="00E10CE1"/>
    <w:p w14:paraId="1AC87E31" w14:textId="7418105E" w:rsidR="006A5E0E" w:rsidRPr="0030435C" w:rsidRDefault="00C52373" w:rsidP="00E10CE1">
      <w:r>
        <w:rPr>
          <w:noProof/>
        </w:rPr>
        <w:drawing>
          <wp:inline distT="0" distB="0" distL="0" distR="0" wp14:anchorId="5A38E381" wp14:editId="5B367809">
            <wp:extent cx="5039995" cy="868045"/>
            <wp:effectExtent l="0" t="0" r="8255" b="8255"/>
            <wp:docPr id="957514256" name="Afbeelding 957514256" descr="Afbeelding met tekst, schermopname, Lettertype, lijn&#10;&#10;Automatisch gegenereerde beschrijving">
              <a:extLst xmlns:a="http://schemas.openxmlformats.org/drawingml/2006/main">
                <a:ext uri="{FF2B5EF4-FFF2-40B4-BE49-F238E27FC236}">
                  <a16:creationId xmlns:a16="http://schemas.microsoft.com/office/drawing/2014/main" id="{51FD241B-5DA0-6784-21CF-CD0D76F978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514256" name="Afbeelding 957514256" descr="Afbeelding met tekst, schermopname, Lettertype, lijn&#10;&#10;Automatisch gegenereerde beschrijving">
                      <a:extLst>
                        <a:ext uri="{FF2B5EF4-FFF2-40B4-BE49-F238E27FC236}">
                          <a16:creationId xmlns:a16="http://schemas.microsoft.com/office/drawing/2014/main" id="{51FD241B-5DA0-6784-21CF-CD0D76F97851}"/>
                        </a:ext>
                      </a:extLst>
                    </pic:cNvPr>
                    <pic:cNvPicPr>
                      <a:picLocks noChangeAspect="1"/>
                    </pic:cNvPicPr>
                  </pic:nvPicPr>
                  <pic:blipFill>
                    <a:blip r:embed="rId12"/>
                    <a:stretch>
                      <a:fillRect/>
                    </a:stretch>
                  </pic:blipFill>
                  <pic:spPr>
                    <a:xfrm>
                      <a:off x="0" y="0"/>
                      <a:ext cx="5039995" cy="868045"/>
                    </a:xfrm>
                    <a:prstGeom prst="rect">
                      <a:avLst/>
                    </a:prstGeom>
                  </pic:spPr>
                </pic:pic>
              </a:graphicData>
            </a:graphic>
          </wp:inline>
        </w:drawing>
      </w:r>
    </w:p>
    <w:p w14:paraId="0E3B1A22" w14:textId="77777777" w:rsidR="00E10CE1" w:rsidRDefault="00E10CE1" w:rsidP="00E10CE1"/>
    <w:p w14:paraId="0C663238" w14:textId="77777777" w:rsidR="00E10CE1" w:rsidRDefault="00E10CE1" w:rsidP="00E10CE1">
      <w:pPr>
        <w:pStyle w:val="11Titel2VVSG"/>
      </w:pPr>
      <w:r>
        <w:t>Meer stabiliteit en zekerheid</w:t>
      </w:r>
    </w:p>
    <w:p w14:paraId="47A133BC" w14:textId="5DF8FF2D" w:rsidR="00E10CE1" w:rsidRDefault="00E10CE1" w:rsidP="00E10CE1">
      <w:r>
        <w:t>Er komt meer stabiliteit</w:t>
      </w:r>
      <w:r w:rsidR="000F432D">
        <w:t xml:space="preserve"> en zekerheid</w:t>
      </w:r>
      <w:r>
        <w:t>. De opzegtermijn in hoofde van Fedasil wordt verhoogd van 6 maanden naar 12 maanden. Dat geldt</w:t>
      </w:r>
      <w:r w:rsidRPr="00FD43BF">
        <w:t xml:space="preserve"> voor alle </w:t>
      </w:r>
      <w:r>
        <w:t>bestaande</w:t>
      </w:r>
      <w:r w:rsidRPr="00FD43BF">
        <w:t xml:space="preserve"> LOI-</w:t>
      </w:r>
      <w:r>
        <w:t>p</w:t>
      </w:r>
      <w:r w:rsidRPr="00FD43BF">
        <w:t>laatsen</w:t>
      </w:r>
      <w:r>
        <w:t xml:space="preserve"> en voor de </w:t>
      </w:r>
      <w:r w:rsidRPr="00FD43BF">
        <w:t>nieuwe plaatsen tot een totaal van 12.000 LOI-plaatsen</w:t>
      </w:r>
      <w:r>
        <w:t xml:space="preserve"> bereikt is. In hoofde van het OCMW blijft de opzegtermijn 6 maanden.</w:t>
      </w:r>
    </w:p>
    <w:p w14:paraId="33FD92E3" w14:textId="77777777" w:rsidR="006C38C1" w:rsidRDefault="006C38C1" w:rsidP="00E10CE1"/>
    <w:p w14:paraId="0E4A7F47" w14:textId="7267C29D" w:rsidR="00E10CE1" w:rsidRDefault="00E10CE1" w:rsidP="00E10CE1">
      <w:r>
        <w:t xml:space="preserve">Het beheer van de LOI wordt vereenvoudigd door één overeenkomst per OCMW te sluiten i.p.v. één overkomst per opvanglocatie die steeds </w:t>
      </w:r>
      <w:r w:rsidRPr="00E26E89">
        <w:t xml:space="preserve">aangepast </w:t>
      </w:r>
      <w:r>
        <w:t xml:space="preserve">moet </w:t>
      </w:r>
      <w:r w:rsidRPr="00E26E89">
        <w:t xml:space="preserve">worden als er een adreswijziging is of als </w:t>
      </w:r>
      <w:r>
        <w:t>d</w:t>
      </w:r>
      <w:r w:rsidRPr="00E26E89">
        <w:t xml:space="preserve">e familiesamenstelling </w:t>
      </w:r>
      <w:r>
        <w:t>wijzigt bijvoorbeeld door de geboorte van een kind</w:t>
      </w:r>
      <w:r w:rsidRPr="00E26E89">
        <w:t>.</w:t>
      </w:r>
      <w:r w:rsidR="003C7708">
        <w:t xml:space="preserve"> </w:t>
      </w:r>
      <w:r w:rsidR="00A05B4D">
        <w:t>Zo moet de administratieve werklast dalen.</w:t>
      </w:r>
    </w:p>
    <w:p w14:paraId="63CAAE94" w14:textId="7201C7C5" w:rsidR="00E10CE1" w:rsidRPr="00393F44" w:rsidRDefault="004E13C0" w:rsidP="00E10CE1">
      <w:pPr>
        <w:pStyle w:val="1Titel1VVSG"/>
      </w:pPr>
      <w:r>
        <w:t>Beoordeling</w:t>
      </w:r>
      <w:r w:rsidR="00E10CE1">
        <w:t xml:space="preserve"> en eerste reacties van lokale besturen</w:t>
      </w:r>
    </w:p>
    <w:p w14:paraId="1F86BA0D" w14:textId="32655AC2" w:rsidR="00A05B4D" w:rsidRDefault="00675FEA" w:rsidP="00E10CE1">
      <w:r>
        <w:t>Positief is</w:t>
      </w:r>
      <w:r w:rsidR="00E60D7D" w:rsidRPr="00E60D7D">
        <w:t xml:space="preserve"> dat de </w:t>
      </w:r>
      <w:r>
        <w:t>financiering versterkt wordt</w:t>
      </w:r>
      <w:r w:rsidR="00E60D7D" w:rsidRPr="00E60D7D">
        <w:t xml:space="preserve">, dat de subsidie duidelijk forfaitair is en dat opzegtermijn verlengd wordt. Die maatregelen samen geven meer </w:t>
      </w:r>
      <w:r>
        <w:t xml:space="preserve">stabiliteit en </w:t>
      </w:r>
      <w:r w:rsidR="00E60D7D" w:rsidRPr="00E60D7D">
        <w:t xml:space="preserve">zekerheid. </w:t>
      </w:r>
      <w:r w:rsidR="00A05B4D">
        <w:t>D</w:t>
      </w:r>
      <w:r w:rsidR="00E10CE1" w:rsidRPr="003D47ED">
        <w:t xml:space="preserve">eze maatregelen </w:t>
      </w:r>
      <w:r w:rsidR="00A05B4D">
        <w:t xml:space="preserve">zijn </w:t>
      </w:r>
      <w:r>
        <w:t xml:space="preserve">dus </w:t>
      </w:r>
      <w:r w:rsidR="00A05B4D">
        <w:t xml:space="preserve">zeker </w:t>
      </w:r>
      <w:r w:rsidR="00E10CE1" w:rsidRPr="003D47ED">
        <w:t xml:space="preserve">een stap in de goede richting maar zullen </w:t>
      </w:r>
      <w:r w:rsidR="00A05B4D">
        <w:t>waarschijnlijk</w:t>
      </w:r>
      <w:r w:rsidR="00E10CE1" w:rsidRPr="003D47ED">
        <w:t xml:space="preserve"> niet volstaan om een betekenisvolle impact te hebben</w:t>
      </w:r>
      <w:r w:rsidR="00B90B47">
        <w:t xml:space="preserve"> op het aantal LOI-plaatsen</w:t>
      </w:r>
      <w:r w:rsidR="00E10CE1" w:rsidRPr="003D47ED">
        <w:t xml:space="preserve">. </w:t>
      </w:r>
    </w:p>
    <w:p w14:paraId="1E71BCAB" w14:textId="77777777" w:rsidR="00A05B4D" w:rsidRDefault="00A05B4D" w:rsidP="00E10CE1"/>
    <w:p w14:paraId="71985FC5" w14:textId="0E9C54E6" w:rsidR="00E10CE1" w:rsidRDefault="00E10CE1" w:rsidP="00E10CE1">
      <w:r w:rsidRPr="003D47ED">
        <w:t xml:space="preserve">Er blijven immers 2 belangrijke knelpunten ongewijzigd. </w:t>
      </w:r>
    </w:p>
    <w:p w14:paraId="7D9EFA01" w14:textId="08E85CA8" w:rsidR="00E10CE1" w:rsidRDefault="00E10CE1" w:rsidP="00E10CE1">
      <w:r w:rsidRPr="003D47ED">
        <w:t xml:space="preserve">Ten eerste is er </w:t>
      </w:r>
      <w:r w:rsidRPr="003D47ED">
        <w:rPr>
          <w:b/>
          <w:bCs/>
        </w:rPr>
        <w:t>geen gegarandeerde bezetting van de LO</w:t>
      </w:r>
      <w:r w:rsidRPr="003D47ED">
        <w:t>I. Een volgende staatssecretaris kan dus beslissen om vooral in te zetten op collectieve opvang omdat kleinschalige opvang in LOI een aanzuigeffect zou hebben. Dat zou opnieuw leegstand in de LOI betekenen. Dat de leegstandsvergoeding 50% van de subsidie bedraagt (voordien 40%) zal een rol spelen bij het nemen van die beslissing en beschermt de lokale besturen ook beter tegen de financiële impact van leegstand.</w:t>
      </w:r>
      <w:r w:rsidR="0057643E">
        <w:t xml:space="preserve"> Een verhoging tot 70% of 80% zou </w:t>
      </w:r>
      <w:r w:rsidR="000F0829">
        <w:t xml:space="preserve">evenwel </w:t>
      </w:r>
      <w:r w:rsidR="0057643E">
        <w:t>pas echt een garantie bieden tegen leegstand</w:t>
      </w:r>
      <w:r w:rsidR="00E81E9B">
        <w:t xml:space="preserve"> die steeds te vermijden is,</w:t>
      </w:r>
      <w:r w:rsidR="0057643E">
        <w:t xml:space="preserve"> ook als er geen opvangcrisis is.</w:t>
      </w:r>
      <w:r w:rsidRPr="003D47ED">
        <w:t xml:space="preserve"> </w:t>
      </w:r>
      <w:r w:rsidR="0057643E">
        <w:t>L</w:t>
      </w:r>
      <w:r w:rsidRPr="003D47ED">
        <w:t xml:space="preserve">eegstaande LOI-woningen zijn bij de actuele huisvestingscrisis </w:t>
      </w:r>
      <w:r w:rsidR="0057643E">
        <w:t xml:space="preserve">immers </w:t>
      </w:r>
      <w:r w:rsidRPr="003D47ED">
        <w:t>n</w:t>
      </w:r>
      <w:r w:rsidR="0057643E">
        <w:t>ooit</w:t>
      </w:r>
      <w:r w:rsidRPr="003D47ED">
        <w:t xml:space="preserve"> te verantwoorden. </w:t>
      </w:r>
    </w:p>
    <w:p w14:paraId="56E9F8DD" w14:textId="3C745ED7" w:rsidR="00E10CE1" w:rsidRPr="003D47ED" w:rsidRDefault="00E10CE1" w:rsidP="00E10CE1">
      <w:r w:rsidRPr="003D47ED">
        <w:t xml:space="preserve">Ten tweede blijft de </w:t>
      </w:r>
      <w:r w:rsidR="00C8224C" w:rsidRPr="00C8224C">
        <w:rPr>
          <w:b/>
          <w:bCs/>
        </w:rPr>
        <w:t>uitstroom</w:t>
      </w:r>
      <w:r w:rsidRPr="003D47ED">
        <w:rPr>
          <w:b/>
          <w:bCs/>
        </w:rPr>
        <w:t>termijn</w:t>
      </w:r>
      <w:r w:rsidRPr="003D47ED">
        <w:t xml:space="preserve"> waarbinnen bewoners met een positieve beslissing het LOI moeten verlaten voor een eigen woning ongewijzigd. Die termijn bedraagt 2 maanden vanaf de positieve beslissing en kan 2 keer met telkens 1 maand verlengd worden. Dat is veel te kort om een betaalbare woning te vinden. Temeer omdat de zoektocht eigenlijk pas echt met kans op succes van start kan gaan zodra de bewoners zijn elektronische verblijfskaart heeft. In het beste geval is dat na 6 weken.</w:t>
      </w:r>
      <w:r w:rsidR="00C8224C">
        <w:t xml:space="preserve"> </w:t>
      </w:r>
      <w:r w:rsidR="005E01B1">
        <w:t>De staatssecretaris ziet bij de huidige verzadiging van het opvangnetwerk geen ruimte om deze uitstroomtermijn te verlengen of het startpunt aan te passen.</w:t>
      </w:r>
      <w:r w:rsidR="00F5005E">
        <w:t xml:space="preserve"> Dan zullen er immers nog meer LOI-plaatsen langer bezet blijven voor uitstroom. </w:t>
      </w:r>
      <w:r w:rsidR="0060208F">
        <w:t>In principe klopt dat argument maar heel wat OCMW’s zien zich genoodzaakt om de LOI-plaats te schorsen na het verstrijken van de uitstroomtermijn</w:t>
      </w:r>
      <w:r w:rsidR="00D27DA8">
        <w:t xml:space="preserve">. </w:t>
      </w:r>
      <w:r w:rsidR="002F493A">
        <w:t xml:space="preserve">Momenteel zijn </w:t>
      </w:r>
      <w:r w:rsidR="00F9395B">
        <w:t xml:space="preserve">in totaal </w:t>
      </w:r>
      <w:r w:rsidR="002F493A">
        <w:t>1758 LOI-plaatsen geschorst</w:t>
      </w:r>
      <w:r w:rsidR="007D4D85">
        <w:t xml:space="preserve"> waarvan een groot aantal wegens geen uitstroom</w:t>
      </w:r>
      <w:r w:rsidR="002F493A">
        <w:t xml:space="preserve">. </w:t>
      </w:r>
      <w:r w:rsidR="00D27DA8">
        <w:t xml:space="preserve">Die LOI-plaatsen komen dus ook niet vrij voor nieuwe bewoners. Verder stellen we vast dat de uitstroom die binnen de termijn gebeurt </w:t>
      </w:r>
      <w:r w:rsidR="009E62EB">
        <w:t>vaak aanleiding geeft tot herhuisvesting door het OCMW dat nadien bevoegd wordt omdat de gevonden woning te duur en/of in te slechte staat is.</w:t>
      </w:r>
    </w:p>
    <w:p w14:paraId="744F65BC" w14:textId="77777777" w:rsidR="00AE289E" w:rsidRPr="00F111BD" w:rsidRDefault="00AE289E" w:rsidP="00AE289E">
      <w:pPr>
        <w:pStyle w:val="BodytekstVVSG"/>
      </w:pPr>
    </w:p>
    <w:p w14:paraId="48CA41C1" w14:textId="19226719" w:rsidR="00E10CE1" w:rsidRDefault="00E10CE1" w:rsidP="004E13C0">
      <w:pPr>
        <w:pStyle w:val="BodytekstVVSG"/>
      </w:pPr>
      <w:r w:rsidRPr="00F111BD">
        <w:t>Wat de</w:t>
      </w:r>
      <w:r w:rsidR="006B7A2A">
        <w:t xml:space="preserve"> mogelijkheid tot </w:t>
      </w:r>
      <w:r w:rsidRPr="00F111BD">
        <w:t xml:space="preserve">samenwerking betreft, </w:t>
      </w:r>
      <w:r w:rsidR="006B7A2A">
        <w:t xml:space="preserve">het is positief dat het KB die mogelijkheid nu </w:t>
      </w:r>
      <w:r w:rsidR="00E72B3C">
        <w:t>uitdrukkelijk voorziet maar</w:t>
      </w:r>
      <w:r w:rsidRPr="00F111BD">
        <w:t xml:space="preserve"> </w:t>
      </w:r>
      <w:r w:rsidR="00E72B3C">
        <w:t xml:space="preserve">lokale </w:t>
      </w:r>
      <w:r w:rsidR="00A438FB">
        <w:t>besturen kunnen sowieso</w:t>
      </w:r>
      <w:r w:rsidRPr="00F111BD">
        <w:t xml:space="preserve"> op contractuele basis samenwerken om een LOI te openen. </w:t>
      </w:r>
      <w:r w:rsidR="00DA29FB">
        <w:t>Ook bij samenwerking is het moeilijk om woningen te vinden. Bijkomend m</w:t>
      </w:r>
      <w:r w:rsidRPr="00F111BD">
        <w:t>oeilijke punten</w:t>
      </w:r>
      <w:r w:rsidR="00285330">
        <w:t xml:space="preserve"> </w:t>
      </w:r>
      <w:r w:rsidRPr="00F111BD">
        <w:t xml:space="preserve">zijn </w:t>
      </w:r>
      <w:r w:rsidR="00DA29FB">
        <w:t xml:space="preserve">het maken van afspraken over </w:t>
      </w:r>
      <w:r w:rsidRPr="00F111BD">
        <w:t xml:space="preserve">het delen van personeel en het afstemmen van het beleid zowel tijdens de opvang in het LOI als bij de uitstroom </w:t>
      </w:r>
      <w:r w:rsidR="00D03D7A">
        <w:t>wanneer</w:t>
      </w:r>
      <w:r w:rsidRPr="00F111BD">
        <w:t xml:space="preserve"> de </w:t>
      </w:r>
      <w:r w:rsidR="00262ECA">
        <w:t>bewoners</w:t>
      </w:r>
      <w:r w:rsidRPr="00F111BD">
        <w:t xml:space="preserve"> recht openen op leefloon en aanvullende steun. </w:t>
      </w:r>
    </w:p>
    <w:p w14:paraId="436A7B7E" w14:textId="77777777" w:rsidR="00D97F53" w:rsidRDefault="00D97F53" w:rsidP="004E13C0">
      <w:pPr>
        <w:pStyle w:val="BodytekstVVSG"/>
      </w:pPr>
    </w:p>
    <w:p w14:paraId="5176053E" w14:textId="73FA3BA8" w:rsidR="007D0A32" w:rsidRPr="007D0A32" w:rsidRDefault="007927F1" w:rsidP="007D0A32">
      <w:pPr>
        <w:pStyle w:val="BodytekstVVSG"/>
      </w:pPr>
      <w:r>
        <w:t>D</w:t>
      </w:r>
      <w:r w:rsidR="00BE70DC">
        <w:t>e verzadiging van de huisvestingsmarkt en</w:t>
      </w:r>
      <w:r w:rsidR="00D97F53">
        <w:t xml:space="preserve"> het algemene tekort aan </w:t>
      </w:r>
      <w:r w:rsidR="00BE70DC">
        <w:t xml:space="preserve">personeel spelen </w:t>
      </w:r>
      <w:r>
        <w:t xml:space="preserve">ook </w:t>
      </w:r>
      <w:r w:rsidR="00BE70DC">
        <w:t xml:space="preserve">een rol. </w:t>
      </w:r>
      <w:r w:rsidR="007675C4">
        <w:t>In hun eerste reacties wijzen lokale besturen erop dat b</w:t>
      </w:r>
      <w:r w:rsidR="00DC2D1B">
        <w:t xml:space="preserve">udget </w:t>
      </w:r>
      <w:r w:rsidR="007675C4">
        <w:t xml:space="preserve">slechts één </w:t>
      </w:r>
      <w:r w:rsidR="008038B8">
        <w:t xml:space="preserve">aspect is. Het vinden van personeel, de administratieve werklast, de krapte op de huurmarkt… ook die aspecten wegen op de beslissing. </w:t>
      </w:r>
      <w:r w:rsidR="00051E59">
        <w:t>De beschikbare woningen zijn ofwel aan de dure kant ofwel voldoen ze niet aan de voor LOI geldende kwaliteitsnormen en zijn er dus nog heel wat kosten aan.</w:t>
      </w:r>
      <w:r w:rsidR="00B77979">
        <w:t xml:space="preserve"> Bovendien komt het lokaal bestuur in concurrentie met de eigen hulpvragers op die krappe huurmarkt. De uitstroom uit de LOI is zoals gezegd moeilijk door e</w:t>
      </w:r>
      <w:r w:rsidR="00E32707">
        <w:t>en</w:t>
      </w:r>
      <w:r w:rsidR="00B77979">
        <w:t xml:space="preserve"> gebrek aan geschikte woningen. Hoe meer woningen het lokaal bestuur huurt, hoe groter die krapte wordt. En dan is er ook nog de algemene daklozenopvang en de opvang van de tijdelijk beschermden uit Oekraïne..</w:t>
      </w:r>
      <w:r w:rsidR="007D0A32" w:rsidRPr="007D0A32">
        <w:rPr>
          <w:bCs/>
        </w:rPr>
        <w:t>.</w:t>
      </w:r>
    </w:p>
    <w:p w14:paraId="5A23622C" w14:textId="77777777" w:rsidR="007D0A32" w:rsidRDefault="007D0A32" w:rsidP="007D0A32">
      <w:pPr>
        <w:pStyle w:val="BodytekstVVSG"/>
        <w:rPr>
          <w:bCs/>
        </w:rPr>
      </w:pPr>
    </w:p>
    <w:p w14:paraId="75F40CBE" w14:textId="4EFFE6DE" w:rsidR="00E32707" w:rsidRDefault="00E32707" w:rsidP="007D0A32">
      <w:pPr>
        <w:pStyle w:val="BodytekstVVSG"/>
        <w:rPr>
          <w:bCs/>
        </w:rPr>
      </w:pPr>
      <w:r>
        <w:rPr>
          <w:bCs/>
        </w:rPr>
        <w:t>Fabienne Crauwels</w:t>
      </w:r>
    </w:p>
    <w:p w14:paraId="02736EA7" w14:textId="20BDD85E" w:rsidR="006A5E0E" w:rsidRPr="007D0A32" w:rsidRDefault="006A5E0E" w:rsidP="007D0A32">
      <w:pPr>
        <w:pStyle w:val="BodytekstVVSG"/>
        <w:rPr>
          <w:bCs/>
        </w:rPr>
      </w:pPr>
      <w:r>
        <w:rPr>
          <w:bCs/>
        </w:rPr>
        <w:t>Stafmedewerker Vreemdelingenbeleid</w:t>
      </w:r>
    </w:p>
    <w:p w14:paraId="73ECB1DD" w14:textId="77777777" w:rsidR="007D0A32" w:rsidRPr="00F111BD" w:rsidRDefault="007D0A32" w:rsidP="004E13C0">
      <w:pPr>
        <w:pStyle w:val="BodytekstVVSG"/>
      </w:pPr>
    </w:p>
    <w:p w14:paraId="1249723E" w14:textId="77777777" w:rsidR="00E10CE1" w:rsidRPr="00F111BD" w:rsidRDefault="00E10CE1" w:rsidP="004E13C0">
      <w:pPr>
        <w:pStyle w:val="BodytekstVVSG"/>
      </w:pPr>
    </w:p>
    <w:p w14:paraId="26B061EF" w14:textId="77777777" w:rsidR="00E10CE1" w:rsidRDefault="00E10CE1" w:rsidP="00E10CE1"/>
    <w:p w14:paraId="0FD3AC96" w14:textId="77777777" w:rsidR="00E10CE1" w:rsidRPr="00E10CE1" w:rsidRDefault="00E10CE1" w:rsidP="00E10CE1">
      <w:pPr>
        <w:pStyle w:val="NummeringVVSG"/>
        <w:numPr>
          <w:ilvl w:val="0"/>
          <w:numId w:val="0"/>
        </w:numPr>
        <w:ind w:left="360" w:hanging="360"/>
        <w:rPr>
          <w:lang w:val="nl-NL"/>
        </w:rPr>
      </w:pPr>
    </w:p>
    <w:sectPr w:rsidR="00E10CE1" w:rsidRPr="00E10CE1" w:rsidSect="00EA4719">
      <w:headerReference w:type="default" r:id="rId13"/>
      <w:footerReference w:type="default" r:id="rId14"/>
      <w:headerReference w:type="first" r:id="rId15"/>
      <w:footerReference w:type="first" r:id="rId16"/>
      <w:pgSz w:w="11906" w:h="16838"/>
      <w:pgMar w:top="2381" w:right="1134" w:bottom="1418" w:left="2835" w:header="595"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2A2E8" w14:textId="77777777" w:rsidR="00DA4813" w:rsidRDefault="00DA4813" w:rsidP="00CC6EE8">
      <w:r>
        <w:separator/>
      </w:r>
    </w:p>
  </w:endnote>
  <w:endnote w:type="continuationSeparator" w:id="0">
    <w:p w14:paraId="5747E86D" w14:textId="77777777" w:rsidR="00DA4813" w:rsidRDefault="00DA4813" w:rsidP="00CC6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 Hew">
    <w:altName w:val="Calibri"/>
    <w:charset w:val="00"/>
    <w:family w:val="auto"/>
    <w:pitch w:val="variable"/>
    <w:sig w:usb0="A000002F" w:usb1="500160FB" w:usb2="0000001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71272" w14:textId="77777777" w:rsidR="005737BA" w:rsidRDefault="005737BA">
    <w:pPr>
      <w:pStyle w:val="Voettekst"/>
    </w:pPr>
    <w:r>
      <w:rPr>
        <w:noProof/>
      </w:rPr>
      <mc:AlternateContent>
        <mc:Choice Requires="wps">
          <w:drawing>
            <wp:anchor distT="0" distB="0" distL="114300" distR="114300" simplePos="0" relativeHeight="251662336" behindDoc="1" locked="0" layoutInCell="1" allowOverlap="1" wp14:anchorId="060F9619" wp14:editId="1EFDFFC5">
              <wp:simplePos x="5643033" y="9825567"/>
              <wp:positionH relativeFrom="page">
                <wp:align>right</wp:align>
              </wp:positionH>
              <wp:positionV relativeFrom="page">
                <wp:align>bottom</wp:align>
              </wp:positionV>
              <wp:extent cx="1440000" cy="720000"/>
              <wp:effectExtent l="0" t="0" r="0" b="0"/>
              <wp:wrapNone/>
              <wp:docPr id="3" name="Tekstvak 3"/>
              <wp:cNvGraphicFramePr/>
              <a:graphic xmlns:a="http://schemas.openxmlformats.org/drawingml/2006/main">
                <a:graphicData uri="http://schemas.microsoft.com/office/word/2010/wordprocessingShape">
                  <wps:wsp>
                    <wps:cNvSpPr txBox="1"/>
                    <wps:spPr>
                      <a:xfrm>
                        <a:off x="0" y="0"/>
                        <a:ext cx="1440000" cy="720000"/>
                      </a:xfrm>
                      <a:prstGeom prst="rect">
                        <a:avLst/>
                      </a:prstGeom>
                      <a:noFill/>
                      <a:ln w="6350">
                        <a:noFill/>
                      </a:ln>
                    </wps:spPr>
                    <wps:txbx>
                      <w:txbxContent>
                        <w:p w14:paraId="4465BB8C" w14:textId="77777777" w:rsidR="005737BA" w:rsidRPr="000E6019" w:rsidRDefault="005737BA" w:rsidP="005737BA">
                          <w:pPr>
                            <w:jc w:val="right"/>
                            <w:rPr>
                              <w:color w:val="97999B" w:themeColor="background2"/>
                              <w:sz w:val="19"/>
                              <w:szCs w:val="19"/>
                            </w:rPr>
                          </w:pPr>
                          <w:r w:rsidRPr="000E6019">
                            <w:rPr>
                              <w:color w:val="97999B" w:themeColor="background2"/>
                              <w:sz w:val="19"/>
                              <w:szCs w:val="19"/>
                            </w:rPr>
                            <w:fldChar w:fldCharType="begin"/>
                          </w:r>
                          <w:r w:rsidRPr="000E6019">
                            <w:rPr>
                              <w:color w:val="97999B" w:themeColor="background2"/>
                              <w:sz w:val="19"/>
                              <w:szCs w:val="19"/>
                            </w:rPr>
                            <w:instrText xml:space="preserve"> PAGE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r w:rsidRPr="000E6019">
                            <w:rPr>
                              <w:color w:val="97999B" w:themeColor="background2"/>
                              <w:sz w:val="19"/>
                              <w:szCs w:val="19"/>
                            </w:rPr>
                            <w:t>/</w:t>
                          </w:r>
                          <w:r w:rsidRPr="000E6019">
                            <w:rPr>
                              <w:color w:val="97999B" w:themeColor="background2"/>
                              <w:sz w:val="19"/>
                              <w:szCs w:val="19"/>
                            </w:rPr>
                            <w:fldChar w:fldCharType="begin"/>
                          </w:r>
                          <w:r w:rsidRPr="000E6019">
                            <w:rPr>
                              <w:color w:val="97999B" w:themeColor="background2"/>
                              <w:sz w:val="19"/>
                              <w:szCs w:val="19"/>
                            </w:rPr>
                            <w:instrText xml:space="preserve"> NUMPAGES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p>
                      </w:txbxContent>
                    </wps:txbx>
                    <wps:bodyPr rot="0" spcFirstLastPara="0" vertOverflow="overflow" horzOverflow="overflow" vert="horz" wrap="square" lIns="0" tIns="0" rIns="378000" bIns="3528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0F9619" id="_x0000_t202" coordsize="21600,21600" o:spt="202" path="m,l,21600r21600,l21600,xe">
              <v:stroke joinstyle="miter"/>
              <v:path gradientshapeok="t" o:connecttype="rect"/>
            </v:shapetype>
            <v:shape id="Tekstvak 3" o:spid="_x0000_s1026" type="#_x0000_t202" style="position:absolute;margin-left:62.2pt;margin-top:0;width:113.4pt;height:56.7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N1HFAIAACYEAAAOAAAAZHJzL2Uyb0RvYy54bWysU8tu2zAQvBfoPxC815KdJwTLgZvARYEg&#10;CeAUOdMUaQmguOyStuR+fZeUbAdpT0V1oJbc5T5mhvO7vjVsr9A3YEs+neScKSuhauy25D9eV19u&#10;OfNB2EoYsKrkB+X53eLzp3nnCjWDGkylkFES64vOlbwOwRVZ5mWtWuEn4JQlpwZsRaAtbrMKRUfZ&#10;W5PN8vw66wArhyCV93T6MDj5IuXXWsnwrLVXgZmSU28hrZjWTVyzxVwUWxSubuTYhviHLlrRWCp6&#10;SvUggmA7bP5I1TYSwYMOEwltBlo3UqUZaJpp/mGadS2cSrMQON6dYPL/L6182q/dC7LQf4WeCIyA&#10;dM4Xng7jPL3GNv6pU0Z+gvBwgk31gcl46fIyp48zSb4bYoVsSpOdbzv04ZuClkWj5Ei0JLTE/tGH&#10;IfQYEotZWDXGJGqMZV3Jry+u8nTh5KHkxlKNc6/RCv2mHwfYQHWguRAGyr2Tq4aKPwofXgQSx9Qv&#10;6TY806INUBEYLc5qwF9/O4/xBD15OetIMyX3P3cCFWfmuyVSosCOBibj4uY2IbMZdlcz2nJmd+09&#10;kCCn9DacTCadYjBHUyO0byTsZaxHLmElVS355mjeh0HD9DCkWi5TEAnKifBo107G1BHICOpr/ybQ&#10;jcgH4uwJjroSxQcChtiBguUugG4SOxHaAc8RcRJj4nd8OFHt7/cp6vy8F78BAAD//wMAUEsDBBQA&#10;BgAIAAAAIQAlUKQa2gAAAAUBAAAPAAAAZHJzL2Rvd25yZXYueG1sTI/BasMwEETvhf6D2EJvjRw3&#10;hOBYDqUltPQSkhR6la2NbSKtjKQk7t9300tzWRhmmH1TrkZnxRlD7D0pmE4yEEiNNz21Cr7266cF&#10;iJg0GW09oYIfjLCq7u9KXRh/oS2ed6kVXEKx0Aq6lIZCyth06HSc+AGJvYMPTieWoZUm6AuXOyvz&#10;LJtLp3viD50e8LXD5rg7OQWfFNZv26Px7/VmrGcf6ZsyS0o9PowvSxAJx/Qfhis+o0PFTLU/kYnC&#10;KuAh6e+yl+dznlFzaPo8A1mV8pa++gUAAP//AwBQSwECLQAUAAYACAAAACEAtoM4kv4AAADhAQAA&#10;EwAAAAAAAAAAAAAAAAAAAAAAW0NvbnRlbnRfVHlwZXNdLnhtbFBLAQItABQABgAIAAAAIQA4/SH/&#10;1gAAAJQBAAALAAAAAAAAAAAAAAAAAC8BAABfcmVscy8ucmVsc1BLAQItABQABgAIAAAAIQBVaN1H&#10;FAIAACYEAAAOAAAAAAAAAAAAAAAAAC4CAABkcnMvZTJvRG9jLnhtbFBLAQItABQABgAIAAAAIQAl&#10;UKQa2gAAAAUBAAAPAAAAAAAAAAAAAAAAAG4EAABkcnMvZG93bnJldi54bWxQSwUGAAAAAAQABADz&#10;AAAAdQUAAAAA&#10;" filled="f" stroked="f" strokeweight=".5pt">
              <v:textbox inset="0,0,10.5mm,9.8mm">
                <w:txbxContent>
                  <w:p w14:paraId="4465BB8C" w14:textId="77777777" w:rsidR="005737BA" w:rsidRPr="000E6019" w:rsidRDefault="005737BA" w:rsidP="005737BA">
                    <w:pPr>
                      <w:jc w:val="right"/>
                      <w:rPr>
                        <w:color w:val="97999B" w:themeColor="background2"/>
                        <w:sz w:val="19"/>
                        <w:szCs w:val="19"/>
                      </w:rPr>
                    </w:pPr>
                    <w:r w:rsidRPr="000E6019">
                      <w:rPr>
                        <w:color w:val="97999B" w:themeColor="background2"/>
                        <w:sz w:val="19"/>
                        <w:szCs w:val="19"/>
                      </w:rPr>
                      <w:fldChar w:fldCharType="begin"/>
                    </w:r>
                    <w:r w:rsidRPr="000E6019">
                      <w:rPr>
                        <w:color w:val="97999B" w:themeColor="background2"/>
                        <w:sz w:val="19"/>
                        <w:szCs w:val="19"/>
                      </w:rPr>
                      <w:instrText xml:space="preserve"> PAGE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r w:rsidRPr="000E6019">
                      <w:rPr>
                        <w:color w:val="97999B" w:themeColor="background2"/>
                        <w:sz w:val="19"/>
                        <w:szCs w:val="19"/>
                      </w:rPr>
                      <w:t>/</w:t>
                    </w:r>
                    <w:r w:rsidRPr="000E6019">
                      <w:rPr>
                        <w:color w:val="97999B" w:themeColor="background2"/>
                        <w:sz w:val="19"/>
                        <w:szCs w:val="19"/>
                      </w:rPr>
                      <w:fldChar w:fldCharType="begin"/>
                    </w:r>
                    <w:r w:rsidRPr="000E6019">
                      <w:rPr>
                        <w:color w:val="97999B" w:themeColor="background2"/>
                        <w:sz w:val="19"/>
                        <w:szCs w:val="19"/>
                      </w:rPr>
                      <w:instrText xml:space="preserve"> NUMPAGES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799DB" w14:textId="77777777" w:rsidR="00CC6EE8" w:rsidRPr="00CC6EE8" w:rsidRDefault="00CC6EE8" w:rsidP="00CC6EE8">
    <w:pPr>
      <w:pStyle w:val="Voettekst"/>
    </w:pPr>
    <w:r w:rsidRPr="00CC6EE8">
      <w:rPr>
        <w:rFonts w:eastAsiaTheme="majorEastAsia"/>
      </w:rPr>
      <w:t>VVSG vzw • Bischoffsheimlaan 1-8 • 1000 Brussel • T +32 2 211 55 00</w:t>
    </w:r>
  </w:p>
  <w:p w14:paraId="339632C3" w14:textId="77777777" w:rsidR="00CC6EE8" w:rsidRPr="00523BBB" w:rsidRDefault="00CC6EE8" w:rsidP="00CC6EE8">
    <w:pPr>
      <w:pStyle w:val="Voettekst"/>
      <w:rPr>
        <w:lang w:val="en-US"/>
      </w:rPr>
    </w:pPr>
    <w:r w:rsidRPr="00523BBB">
      <w:rPr>
        <w:lang w:val="en-US"/>
      </w:rPr>
      <w:t>BIC GKCCBEBB</w:t>
    </w:r>
    <w:r w:rsidRPr="00523BBB">
      <w:rPr>
        <w:rFonts w:eastAsiaTheme="majorEastAsia"/>
        <w:lang w:val="en-US"/>
      </w:rPr>
      <w:t xml:space="preserve"> •</w:t>
    </w:r>
    <w:r w:rsidRPr="00523BBB">
      <w:rPr>
        <w:lang w:val="en-US"/>
      </w:rPr>
      <w:t xml:space="preserve"> IBAN BE10 0910 1156 9604</w:t>
    </w:r>
    <w:r w:rsidRPr="00523BBB">
      <w:rPr>
        <w:rFonts w:eastAsiaTheme="majorEastAsia"/>
        <w:lang w:val="en-US"/>
      </w:rPr>
      <w:t xml:space="preserve"> •</w:t>
    </w:r>
    <w:r w:rsidRPr="00523BBB">
      <w:rPr>
        <w:lang w:val="en-US"/>
      </w:rPr>
      <w:t xml:space="preserve"> RPR Brussel BE 0451 857 573</w:t>
    </w:r>
  </w:p>
  <w:p w14:paraId="24263244" w14:textId="77777777" w:rsidR="00CC6EE8" w:rsidRPr="00523BBB" w:rsidRDefault="00CC6EE8" w:rsidP="00CC6EE8">
    <w:pPr>
      <w:pStyle w:val="Voettekst"/>
      <w:rPr>
        <w:lang w:val="en-US"/>
      </w:rPr>
    </w:pPr>
    <w:r w:rsidRPr="00523BBB">
      <w:rPr>
        <w:rFonts w:eastAsiaTheme="majorEastAsia"/>
        <w:lang w:val="en-US"/>
      </w:rPr>
      <w:t>info@vvsg.be • www.vvsg.be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11A3F" w14:textId="77777777" w:rsidR="00DA4813" w:rsidRDefault="00DA4813" w:rsidP="00CC6EE8">
      <w:r>
        <w:separator/>
      </w:r>
    </w:p>
  </w:footnote>
  <w:footnote w:type="continuationSeparator" w:id="0">
    <w:p w14:paraId="63A40CC2" w14:textId="77777777" w:rsidR="00DA4813" w:rsidRDefault="00DA4813" w:rsidP="00CC6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BFFE5" w14:textId="77777777" w:rsidR="00CC6EE8" w:rsidRDefault="00CC6EE8">
    <w:pPr>
      <w:pStyle w:val="Koptekst"/>
    </w:pPr>
    <w:r>
      <w:rPr>
        <w:noProof/>
      </w:rPr>
      <w:drawing>
        <wp:anchor distT="0" distB="0" distL="114300" distR="114300" simplePos="0" relativeHeight="251659264" behindDoc="1" locked="0" layoutInCell="1" allowOverlap="1" wp14:anchorId="4B4ECED0" wp14:editId="2960EA77">
          <wp:simplePos x="0" y="0"/>
          <wp:positionH relativeFrom="page">
            <wp:posOffset>377825</wp:posOffset>
          </wp:positionH>
          <wp:positionV relativeFrom="page">
            <wp:posOffset>377825</wp:posOffset>
          </wp:positionV>
          <wp:extent cx="964440" cy="355320"/>
          <wp:effectExtent l="0" t="0" r="7620" b="6985"/>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64440" cy="3553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3F661" w14:textId="77777777" w:rsidR="00CC6EE8" w:rsidRPr="00CC6EE8" w:rsidRDefault="0083041D" w:rsidP="00CC6EE8">
    <w:pPr>
      <w:pStyle w:val="Koptekst"/>
    </w:pPr>
    <w:r>
      <w:rPr>
        <w:noProof/>
      </w:rPr>
      <w:drawing>
        <wp:anchor distT="0" distB="0" distL="114300" distR="114300" simplePos="0" relativeHeight="251663360" behindDoc="1" locked="0" layoutInCell="1" allowOverlap="1" wp14:anchorId="1149F55F" wp14:editId="5D56F7F4">
          <wp:simplePos x="0" y="0"/>
          <wp:positionH relativeFrom="page">
            <wp:posOffset>-107950</wp:posOffset>
          </wp:positionH>
          <wp:positionV relativeFrom="page">
            <wp:posOffset>5321935</wp:posOffset>
          </wp:positionV>
          <wp:extent cx="1508040" cy="3960000"/>
          <wp:effectExtent l="0" t="0" r="0" b="254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08040" cy="3960000"/>
                  </a:xfrm>
                  <a:prstGeom prst="rect">
                    <a:avLst/>
                  </a:prstGeom>
                </pic:spPr>
              </pic:pic>
            </a:graphicData>
          </a:graphic>
          <wp14:sizeRelH relativeFrom="margin">
            <wp14:pctWidth>0</wp14:pctWidth>
          </wp14:sizeRelH>
          <wp14:sizeRelV relativeFrom="margin">
            <wp14:pctHeight>0</wp14:pctHeight>
          </wp14:sizeRelV>
        </wp:anchor>
      </w:drawing>
    </w:r>
    <w:r w:rsidR="00CC6EE8">
      <w:rPr>
        <w:noProof/>
      </w:rPr>
      <w:drawing>
        <wp:anchor distT="0" distB="0" distL="114300" distR="114300" simplePos="0" relativeHeight="251661312" behindDoc="1" locked="0" layoutInCell="1" allowOverlap="1" wp14:anchorId="6C733F8D" wp14:editId="1C5A045A">
          <wp:simplePos x="0" y="0"/>
          <wp:positionH relativeFrom="page">
            <wp:posOffset>377825</wp:posOffset>
          </wp:positionH>
          <wp:positionV relativeFrom="page">
            <wp:posOffset>377825</wp:posOffset>
          </wp:positionV>
          <wp:extent cx="2217600" cy="48132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217600" cy="481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3F47"/>
    <w:multiLevelType w:val="multilevel"/>
    <w:tmpl w:val="4384968A"/>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DF57EB"/>
    <w:multiLevelType w:val="multilevel"/>
    <w:tmpl w:val="4384968A"/>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3001E3D"/>
    <w:multiLevelType w:val="hybridMultilevel"/>
    <w:tmpl w:val="6B5ABF0A"/>
    <w:lvl w:ilvl="0" w:tplc="56B25228">
      <w:start w:val="1"/>
      <w:numFmt w:val="decimal"/>
      <w:lvlText w:val="%1."/>
      <w:lvlJc w:val="right"/>
      <w:pPr>
        <w:ind w:left="720" w:hanging="360"/>
      </w:pPr>
      <w:rPr>
        <w:rFonts w:asciiTheme="minorHAnsi" w:hAnsiTheme="minorHAns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9F7416F"/>
    <w:multiLevelType w:val="hybridMultilevel"/>
    <w:tmpl w:val="04BAA360"/>
    <w:lvl w:ilvl="0" w:tplc="ED2419E8">
      <w:start w:val="1"/>
      <w:numFmt w:val="decimal"/>
      <w:lvlText w:val="%1."/>
      <w:lvlJc w:val="right"/>
      <w:pPr>
        <w:ind w:left="1330" w:hanging="360"/>
      </w:pPr>
      <w:rPr>
        <w:rFonts w:asciiTheme="minorHAnsi" w:hAnsiTheme="minorHAnsi" w:hint="default"/>
      </w:rPr>
    </w:lvl>
    <w:lvl w:ilvl="1" w:tplc="08130019" w:tentative="1">
      <w:start w:val="1"/>
      <w:numFmt w:val="lowerLetter"/>
      <w:lvlText w:val="%2."/>
      <w:lvlJc w:val="left"/>
      <w:pPr>
        <w:ind w:left="2050" w:hanging="360"/>
      </w:pPr>
    </w:lvl>
    <w:lvl w:ilvl="2" w:tplc="0813001B" w:tentative="1">
      <w:start w:val="1"/>
      <w:numFmt w:val="lowerRoman"/>
      <w:lvlText w:val="%3."/>
      <w:lvlJc w:val="right"/>
      <w:pPr>
        <w:ind w:left="2770" w:hanging="180"/>
      </w:pPr>
    </w:lvl>
    <w:lvl w:ilvl="3" w:tplc="0813000F" w:tentative="1">
      <w:start w:val="1"/>
      <w:numFmt w:val="decimal"/>
      <w:lvlText w:val="%4."/>
      <w:lvlJc w:val="left"/>
      <w:pPr>
        <w:ind w:left="3490" w:hanging="360"/>
      </w:pPr>
    </w:lvl>
    <w:lvl w:ilvl="4" w:tplc="08130019" w:tentative="1">
      <w:start w:val="1"/>
      <w:numFmt w:val="lowerLetter"/>
      <w:lvlText w:val="%5."/>
      <w:lvlJc w:val="left"/>
      <w:pPr>
        <w:ind w:left="4210" w:hanging="360"/>
      </w:pPr>
    </w:lvl>
    <w:lvl w:ilvl="5" w:tplc="0813001B" w:tentative="1">
      <w:start w:val="1"/>
      <w:numFmt w:val="lowerRoman"/>
      <w:lvlText w:val="%6."/>
      <w:lvlJc w:val="right"/>
      <w:pPr>
        <w:ind w:left="4930" w:hanging="180"/>
      </w:pPr>
    </w:lvl>
    <w:lvl w:ilvl="6" w:tplc="0813000F" w:tentative="1">
      <w:start w:val="1"/>
      <w:numFmt w:val="decimal"/>
      <w:lvlText w:val="%7."/>
      <w:lvlJc w:val="left"/>
      <w:pPr>
        <w:ind w:left="5650" w:hanging="360"/>
      </w:pPr>
    </w:lvl>
    <w:lvl w:ilvl="7" w:tplc="08130019" w:tentative="1">
      <w:start w:val="1"/>
      <w:numFmt w:val="lowerLetter"/>
      <w:lvlText w:val="%8."/>
      <w:lvlJc w:val="left"/>
      <w:pPr>
        <w:ind w:left="6370" w:hanging="360"/>
      </w:pPr>
    </w:lvl>
    <w:lvl w:ilvl="8" w:tplc="0813001B" w:tentative="1">
      <w:start w:val="1"/>
      <w:numFmt w:val="lowerRoman"/>
      <w:lvlText w:val="%9."/>
      <w:lvlJc w:val="right"/>
      <w:pPr>
        <w:ind w:left="7090" w:hanging="180"/>
      </w:pPr>
    </w:lvl>
  </w:abstractNum>
  <w:abstractNum w:abstractNumId="4" w15:restartNumberingAfterBreak="0">
    <w:nsid w:val="1B5D70DF"/>
    <w:multiLevelType w:val="multilevel"/>
    <w:tmpl w:val="4384968A"/>
    <w:styleLink w:val="VVSGtitels"/>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33C6B23"/>
    <w:multiLevelType w:val="hybridMultilevel"/>
    <w:tmpl w:val="F7B6CA34"/>
    <w:lvl w:ilvl="0" w:tplc="8584BEB0">
      <w:start w:val="1"/>
      <w:numFmt w:val="bullet"/>
      <w:lvlText w:val="­"/>
      <w:lvlJc w:val="left"/>
      <w:pPr>
        <w:ind w:left="720" w:hanging="360"/>
      </w:pPr>
      <w:rPr>
        <w:rFonts w:ascii="Coo Hew" w:hAnsi="Coo Hew" w:hint="default"/>
      </w:rPr>
    </w:lvl>
    <w:lvl w:ilvl="1" w:tplc="DF6259EA" w:tentative="1">
      <w:start w:val="1"/>
      <w:numFmt w:val="bullet"/>
      <w:lvlText w:val="o"/>
      <w:lvlJc w:val="left"/>
      <w:pPr>
        <w:ind w:left="1440" w:hanging="360"/>
      </w:pPr>
      <w:rPr>
        <w:rFonts w:ascii="Courier New" w:hAnsi="Courier New" w:cs="Courier New" w:hint="default"/>
      </w:rPr>
    </w:lvl>
    <w:lvl w:ilvl="2" w:tplc="FAF42ECE" w:tentative="1">
      <w:start w:val="1"/>
      <w:numFmt w:val="bullet"/>
      <w:lvlText w:val=""/>
      <w:lvlJc w:val="left"/>
      <w:pPr>
        <w:ind w:left="2160" w:hanging="360"/>
      </w:pPr>
      <w:rPr>
        <w:rFonts w:ascii="Wingdings" w:hAnsi="Wingdings" w:hint="default"/>
      </w:rPr>
    </w:lvl>
    <w:lvl w:ilvl="3" w:tplc="FD1A5FFC" w:tentative="1">
      <w:start w:val="1"/>
      <w:numFmt w:val="bullet"/>
      <w:lvlText w:val=""/>
      <w:lvlJc w:val="left"/>
      <w:pPr>
        <w:ind w:left="2880" w:hanging="360"/>
      </w:pPr>
      <w:rPr>
        <w:rFonts w:ascii="Symbol" w:hAnsi="Symbol" w:hint="default"/>
      </w:rPr>
    </w:lvl>
    <w:lvl w:ilvl="4" w:tplc="9E662C80" w:tentative="1">
      <w:start w:val="1"/>
      <w:numFmt w:val="bullet"/>
      <w:lvlText w:val="o"/>
      <w:lvlJc w:val="left"/>
      <w:pPr>
        <w:ind w:left="3600" w:hanging="360"/>
      </w:pPr>
      <w:rPr>
        <w:rFonts w:ascii="Courier New" w:hAnsi="Courier New" w:cs="Courier New" w:hint="default"/>
      </w:rPr>
    </w:lvl>
    <w:lvl w:ilvl="5" w:tplc="96EC6FEE" w:tentative="1">
      <w:start w:val="1"/>
      <w:numFmt w:val="bullet"/>
      <w:lvlText w:val=""/>
      <w:lvlJc w:val="left"/>
      <w:pPr>
        <w:ind w:left="4320" w:hanging="360"/>
      </w:pPr>
      <w:rPr>
        <w:rFonts w:ascii="Wingdings" w:hAnsi="Wingdings" w:hint="default"/>
      </w:rPr>
    </w:lvl>
    <w:lvl w:ilvl="6" w:tplc="9F04C6F2" w:tentative="1">
      <w:start w:val="1"/>
      <w:numFmt w:val="bullet"/>
      <w:lvlText w:val=""/>
      <w:lvlJc w:val="left"/>
      <w:pPr>
        <w:ind w:left="5040" w:hanging="360"/>
      </w:pPr>
      <w:rPr>
        <w:rFonts w:ascii="Symbol" w:hAnsi="Symbol" w:hint="default"/>
      </w:rPr>
    </w:lvl>
    <w:lvl w:ilvl="7" w:tplc="E258F02C" w:tentative="1">
      <w:start w:val="1"/>
      <w:numFmt w:val="bullet"/>
      <w:lvlText w:val="o"/>
      <w:lvlJc w:val="left"/>
      <w:pPr>
        <w:ind w:left="5760" w:hanging="360"/>
      </w:pPr>
      <w:rPr>
        <w:rFonts w:ascii="Courier New" w:hAnsi="Courier New" w:cs="Courier New" w:hint="default"/>
      </w:rPr>
    </w:lvl>
    <w:lvl w:ilvl="8" w:tplc="80FCD87E" w:tentative="1">
      <w:start w:val="1"/>
      <w:numFmt w:val="bullet"/>
      <w:lvlText w:val=""/>
      <w:lvlJc w:val="left"/>
      <w:pPr>
        <w:ind w:left="6480" w:hanging="360"/>
      </w:pPr>
      <w:rPr>
        <w:rFonts w:ascii="Wingdings" w:hAnsi="Wingdings" w:hint="default"/>
      </w:rPr>
    </w:lvl>
  </w:abstractNum>
  <w:abstractNum w:abstractNumId="6" w15:restartNumberingAfterBreak="0">
    <w:nsid w:val="271C26D1"/>
    <w:multiLevelType w:val="multilevel"/>
    <w:tmpl w:val="F3409C6A"/>
    <w:numStyleLink w:val="VVSGTitels0"/>
  </w:abstractNum>
  <w:abstractNum w:abstractNumId="7" w15:restartNumberingAfterBreak="0">
    <w:nsid w:val="27383C28"/>
    <w:multiLevelType w:val="multilevel"/>
    <w:tmpl w:val="4384968A"/>
    <w:numStyleLink w:val="VVSGtitels"/>
  </w:abstractNum>
  <w:abstractNum w:abstractNumId="8" w15:restartNumberingAfterBreak="0">
    <w:nsid w:val="27761599"/>
    <w:multiLevelType w:val="multilevel"/>
    <w:tmpl w:val="4384968A"/>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AB05BA9"/>
    <w:multiLevelType w:val="multilevel"/>
    <w:tmpl w:val="F3409C6A"/>
    <w:styleLink w:val="VVSGTitels0"/>
    <w:lvl w:ilvl="0">
      <w:start w:val="1"/>
      <w:numFmt w:val="decimal"/>
      <w:pStyle w:val="1Titel1VVSG"/>
      <w:lvlText w:val="%1."/>
      <w:lvlJc w:val="left"/>
      <w:pPr>
        <w:ind w:left="284" w:hanging="284"/>
      </w:pPr>
      <w:rPr>
        <w:rFonts w:hint="default"/>
      </w:rPr>
    </w:lvl>
    <w:lvl w:ilvl="1">
      <w:start w:val="1"/>
      <w:numFmt w:val="decimal"/>
      <w:pStyle w:val="11Titel2VVSG"/>
      <w:lvlText w:val="%1.%2."/>
      <w:lvlJc w:val="left"/>
      <w:pPr>
        <w:ind w:left="432" w:hanging="432"/>
      </w:pPr>
      <w:rPr>
        <w:rFonts w:hint="default"/>
      </w:rPr>
    </w:lvl>
    <w:lvl w:ilvl="2">
      <w:start w:val="1"/>
      <w:numFmt w:val="decimal"/>
      <w:pStyle w:val="111Titel3VVSG"/>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0D67E6"/>
    <w:multiLevelType w:val="hybridMultilevel"/>
    <w:tmpl w:val="4B9CFE18"/>
    <w:lvl w:ilvl="0" w:tplc="710696BC">
      <w:start w:val="1"/>
      <w:numFmt w:val="bullet"/>
      <w:pStyle w:val="OpsommingVVSG"/>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FB155B4"/>
    <w:multiLevelType w:val="multilevel"/>
    <w:tmpl w:val="4384968A"/>
    <w:numStyleLink w:val="VVSGtitels"/>
  </w:abstractNum>
  <w:abstractNum w:abstractNumId="12" w15:restartNumberingAfterBreak="0">
    <w:nsid w:val="318463F8"/>
    <w:multiLevelType w:val="hybridMultilevel"/>
    <w:tmpl w:val="EA5AFC16"/>
    <w:lvl w:ilvl="0" w:tplc="060C6984">
      <w:start w:val="1"/>
      <w:numFmt w:val="decimal"/>
      <w:lvlText w:val="%1."/>
      <w:lvlJc w:val="right"/>
      <w:pPr>
        <w:ind w:left="720" w:hanging="360"/>
      </w:pPr>
      <w:rPr>
        <w:rFonts w:asciiTheme="minorHAnsi" w:hAnsiTheme="minorHAns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33283C0D"/>
    <w:multiLevelType w:val="hybridMultilevel"/>
    <w:tmpl w:val="84AE84BA"/>
    <w:lvl w:ilvl="0" w:tplc="3E5CB710">
      <w:start w:val="1"/>
      <w:numFmt w:val="decimal"/>
      <w:pStyle w:val="NummeringVVSG"/>
      <w:lvlText w:val="%1."/>
      <w:lvlJc w:val="left"/>
      <w:pPr>
        <w:ind w:left="360" w:hanging="360"/>
      </w:pPr>
      <w:rPr>
        <w:rFont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44FD5C6F"/>
    <w:multiLevelType w:val="multilevel"/>
    <w:tmpl w:val="4384968A"/>
    <w:numStyleLink w:val="VVSGtitels"/>
  </w:abstractNum>
  <w:abstractNum w:abstractNumId="15" w15:restartNumberingAfterBreak="0">
    <w:nsid w:val="4C63314B"/>
    <w:multiLevelType w:val="multilevel"/>
    <w:tmpl w:val="4384968A"/>
    <w:numStyleLink w:val="VVSGtitels"/>
  </w:abstractNum>
  <w:abstractNum w:abstractNumId="16" w15:restartNumberingAfterBreak="0">
    <w:nsid w:val="4C9379BD"/>
    <w:multiLevelType w:val="hybridMultilevel"/>
    <w:tmpl w:val="43EADDDC"/>
    <w:lvl w:ilvl="0" w:tplc="2CC4C738">
      <w:start w:val="1"/>
      <w:numFmt w:val="bullet"/>
      <w:lvlText w:val="□"/>
      <w:lvlJc w:val="left"/>
      <w:pPr>
        <w:ind w:left="720" w:hanging="360"/>
      </w:pPr>
      <w:rPr>
        <w:rFonts w:ascii="Arial" w:hAnsi="Arial" w:cs="Arial" w:hint="default"/>
        <w:sz w:val="40"/>
        <w:szCs w:val="4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DA87147"/>
    <w:multiLevelType w:val="multilevel"/>
    <w:tmpl w:val="214A57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C7A0F0B"/>
    <w:multiLevelType w:val="hybridMultilevel"/>
    <w:tmpl w:val="B9326A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1B779BC"/>
    <w:multiLevelType w:val="multilevel"/>
    <w:tmpl w:val="D80026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E4D553D"/>
    <w:multiLevelType w:val="multilevel"/>
    <w:tmpl w:val="4384968A"/>
    <w:numStyleLink w:val="VVSGtitels"/>
  </w:abstractNum>
  <w:num w:numId="1" w16cid:durableId="2061778571">
    <w:abstractNumId w:val="5"/>
  </w:num>
  <w:num w:numId="2" w16cid:durableId="1171915763">
    <w:abstractNumId w:val="16"/>
  </w:num>
  <w:num w:numId="3" w16cid:durableId="1097481073">
    <w:abstractNumId w:val="4"/>
  </w:num>
  <w:num w:numId="4" w16cid:durableId="1743990236">
    <w:abstractNumId w:val="20"/>
  </w:num>
  <w:num w:numId="5" w16cid:durableId="740249554">
    <w:abstractNumId w:val="1"/>
  </w:num>
  <w:num w:numId="6" w16cid:durableId="1333610289">
    <w:abstractNumId w:val="15"/>
  </w:num>
  <w:num w:numId="7" w16cid:durableId="1115292524">
    <w:abstractNumId w:val="2"/>
  </w:num>
  <w:num w:numId="8" w16cid:durableId="663051894">
    <w:abstractNumId w:val="7"/>
  </w:num>
  <w:num w:numId="9" w16cid:durableId="87773085">
    <w:abstractNumId w:val="14"/>
  </w:num>
  <w:num w:numId="10" w16cid:durableId="1005984513">
    <w:abstractNumId w:val="8"/>
  </w:num>
  <w:num w:numId="11" w16cid:durableId="223759315">
    <w:abstractNumId w:val="11"/>
  </w:num>
  <w:num w:numId="12" w16cid:durableId="1407066384">
    <w:abstractNumId w:val="0"/>
  </w:num>
  <w:num w:numId="13" w16cid:durableId="1509363924">
    <w:abstractNumId w:val="19"/>
  </w:num>
  <w:num w:numId="14" w16cid:durableId="405733624">
    <w:abstractNumId w:val="12"/>
  </w:num>
  <w:num w:numId="15" w16cid:durableId="11154500">
    <w:abstractNumId w:val="10"/>
  </w:num>
  <w:num w:numId="16" w16cid:durableId="1207253931">
    <w:abstractNumId w:val="17"/>
  </w:num>
  <w:num w:numId="17" w16cid:durableId="488905905">
    <w:abstractNumId w:val="9"/>
  </w:num>
  <w:num w:numId="18" w16cid:durableId="745687674">
    <w:abstractNumId w:val="13"/>
  </w:num>
  <w:num w:numId="19" w16cid:durableId="2072382459">
    <w:abstractNumId w:val="13"/>
    <w:lvlOverride w:ilvl="0">
      <w:startOverride w:val="1"/>
    </w:lvlOverride>
  </w:num>
  <w:num w:numId="20" w16cid:durableId="357507194">
    <w:abstractNumId w:val="13"/>
  </w:num>
  <w:num w:numId="21" w16cid:durableId="810364342">
    <w:abstractNumId w:val="3"/>
  </w:num>
  <w:num w:numId="22" w16cid:durableId="805511967">
    <w:abstractNumId w:val="6"/>
  </w:num>
  <w:num w:numId="23" w16cid:durableId="1518079081">
    <w:abstractNumId w:val="13"/>
    <w:lvlOverride w:ilvl="0">
      <w:startOverride w:val="1"/>
    </w:lvlOverride>
  </w:num>
  <w:num w:numId="24" w16cid:durableId="9397527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813"/>
    <w:rsid w:val="00024353"/>
    <w:rsid w:val="00025844"/>
    <w:rsid w:val="0003430B"/>
    <w:rsid w:val="00050D61"/>
    <w:rsid w:val="00050E77"/>
    <w:rsid w:val="00051E59"/>
    <w:rsid w:val="00060451"/>
    <w:rsid w:val="000706B6"/>
    <w:rsid w:val="00074365"/>
    <w:rsid w:val="00087630"/>
    <w:rsid w:val="000A3AC0"/>
    <w:rsid w:val="000A7398"/>
    <w:rsid w:val="000B2181"/>
    <w:rsid w:val="000C58BD"/>
    <w:rsid w:val="000D0025"/>
    <w:rsid w:val="000D1B9D"/>
    <w:rsid w:val="000E0F86"/>
    <w:rsid w:val="000E6019"/>
    <w:rsid w:val="000F0829"/>
    <w:rsid w:val="000F3C51"/>
    <w:rsid w:val="000F432D"/>
    <w:rsid w:val="000F6824"/>
    <w:rsid w:val="000F73F9"/>
    <w:rsid w:val="00112839"/>
    <w:rsid w:val="001A0DF9"/>
    <w:rsid w:val="001A4894"/>
    <w:rsid w:val="001C08D9"/>
    <w:rsid w:val="001C278C"/>
    <w:rsid w:val="001E0F82"/>
    <w:rsid w:val="002009A8"/>
    <w:rsid w:val="00224989"/>
    <w:rsid w:val="00262ECA"/>
    <w:rsid w:val="00266BEF"/>
    <w:rsid w:val="00285330"/>
    <w:rsid w:val="002A246E"/>
    <w:rsid w:val="002A6D3C"/>
    <w:rsid w:val="002B3018"/>
    <w:rsid w:val="002C4146"/>
    <w:rsid w:val="002F493A"/>
    <w:rsid w:val="002F7537"/>
    <w:rsid w:val="00307BC1"/>
    <w:rsid w:val="0031077D"/>
    <w:rsid w:val="003210C4"/>
    <w:rsid w:val="0034266B"/>
    <w:rsid w:val="00342749"/>
    <w:rsid w:val="003541A5"/>
    <w:rsid w:val="0035669C"/>
    <w:rsid w:val="00356F5C"/>
    <w:rsid w:val="00361327"/>
    <w:rsid w:val="00377736"/>
    <w:rsid w:val="0038384D"/>
    <w:rsid w:val="003C3AF9"/>
    <w:rsid w:val="003C7708"/>
    <w:rsid w:val="003D1241"/>
    <w:rsid w:val="003F1A7D"/>
    <w:rsid w:val="003F3A9E"/>
    <w:rsid w:val="00450662"/>
    <w:rsid w:val="00482C9E"/>
    <w:rsid w:val="004A4E83"/>
    <w:rsid w:val="004B1374"/>
    <w:rsid w:val="004B3A64"/>
    <w:rsid w:val="004E13C0"/>
    <w:rsid w:val="00506104"/>
    <w:rsid w:val="00516B67"/>
    <w:rsid w:val="00523BBB"/>
    <w:rsid w:val="005327E7"/>
    <w:rsid w:val="00547EBA"/>
    <w:rsid w:val="0055444C"/>
    <w:rsid w:val="005737BA"/>
    <w:rsid w:val="0057643E"/>
    <w:rsid w:val="00596904"/>
    <w:rsid w:val="005A0E9E"/>
    <w:rsid w:val="005A370A"/>
    <w:rsid w:val="005C0FB0"/>
    <w:rsid w:val="005C2CA1"/>
    <w:rsid w:val="005E01B1"/>
    <w:rsid w:val="005E37F5"/>
    <w:rsid w:val="0060208F"/>
    <w:rsid w:val="00616791"/>
    <w:rsid w:val="006272B8"/>
    <w:rsid w:val="0065782C"/>
    <w:rsid w:val="00675FEA"/>
    <w:rsid w:val="00696EB4"/>
    <w:rsid w:val="006A46F6"/>
    <w:rsid w:val="006A5E0E"/>
    <w:rsid w:val="006B00AB"/>
    <w:rsid w:val="006B7A2A"/>
    <w:rsid w:val="006B7F92"/>
    <w:rsid w:val="006C38C1"/>
    <w:rsid w:val="00701ECD"/>
    <w:rsid w:val="00724252"/>
    <w:rsid w:val="00730649"/>
    <w:rsid w:val="00736CB3"/>
    <w:rsid w:val="007554C4"/>
    <w:rsid w:val="00762332"/>
    <w:rsid w:val="007650B0"/>
    <w:rsid w:val="007675C4"/>
    <w:rsid w:val="00770A2F"/>
    <w:rsid w:val="0078273A"/>
    <w:rsid w:val="007927F1"/>
    <w:rsid w:val="007A4FAB"/>
    <w:rsid w:val="007B3E1A"/>
    <w:rsid w:val="007D0A32"/>
    <w:rsid w:val="007D4D85"/>
    <w:rsid w:val="007E7FEA"/>
    <w:rsid w:val="008038B8"/>
    <w:rsid w:val="00830304"/>
    <w:rsid w:val="0083041D"/>
    <w:rsid w:val="008363B4"/>
    <w:rsid w:val="008633FE"/>
    <w:rsid w:val="0089489C"/>
    <w:rsid w:val="008A36A3"/>
    <w:rsid w:val="008C3FF6"/>
    <w:rsid w:val="008D4808"/>
    <w:rsid w:val="008D7D00"/>
    <w:rsid w:val="008F33A8"/>
    <w:rsid w:val="008F505C"/>
    <w:rsid w:val="009101CD"/>
    <w:rsid w:val="00913527"/>
    <w:rsid w:val="00920BC4"/>
    <w:rsid w:val="00922427"/>
    <w:rsid w:val="00962263"/>
    <w:rsid w:val="00962464"/>
    <w:rsid w:val="00985DF4"/>
    <w:rsid w:val="00992D0F"/>
    <w:rsid w:val="009D146B"/>
    <w:rsid w:val="009D4C08"/>
    <w:rsid w:val="009D7974"/>
    <w:rsid w:val="009E62EB"/>
    <w:rsid w:val="009F41C6"/>
    <w:rsid w:val="00A05B4D"/>
    <w:rsid w:val="00A16A57"/>
    <w:rsid w:val="00A20FA1"/>
    <w:rsid w:val="00A22EE6"/>
    <w:rsid w:val="00A25394"/>
    <w:rsid w:val="00A304B0"/>
    <w:rsid w:val="00A36D1F"/>
    <w:rsid w:val="00A438FB"/>
    <w:rsid w:val="00A7308D"/>
    <w:rsid w:val="00A83758"/>
    <w:rsid w:val="00A869D0"/>
    <w:rsid w:val="00A9282D"/>
    <w:rsid w:val="00AA0986"/>
    <w:rsid w:val="00AA4D6A"/>
    <w:rsid w:val="00AC6083"/>
    <w:rsid w:val="00AE289E"/>
    <w:rsid w:val="00AE58B1"/>
    <w:rsid w:val="00B11285"/>
    <w:rsid w:val="00B25776"/>
    <w:rsid w:val="00B37349"/>
    <w:rsid w:val="00B44D27"/>
    <w:rsid w:val="00B63376"/>
    <w:rsid w:val="00B6556A"/>
    <w:rsid w:val="00B77979"/>
    <w:rsid w:val="00B90B47"/>
    <w:rsid w:val="00B91509"/>
    <w:rsid w:val="00BA2A8F"/>
    <w:rsid w:val="00BA3E81"/>
    <w:rsid w:val="00BB1952"/>
    <w:rsid w:val="00BC4C62"/>
    <w:rsid w:val="00BD2370"/>
    <w:rsid w:val="00BD7B19"/>
    <w:rsid w:val="00BE5D5E"/>
    <w:rsid w:val="00BE70DC"/>
    <w:rsid w:val="00C52373"/>
    <w:rsid w:val="00C56181"/>
    <w:rsid w:val="00C5637B"/>
    <w:rsid w:val="00C8224C"/>
    <w:rsid w:val="00CA7C55"/>
    <w:rsid w:val="00CC6EE8"/>
    <w:rsid w:val="00CE6D68"/>
    <w:rsid w:val="00D03D7A"/>
    <w:rsid w:val="00D25498"/>
    <w:rsid w:val="00D27DA8"/>
    <w:rsid w:val="00D4120B"/>
    <w:rsid w:val="00D70255"/>
    <w:rsid w:val="00D8744A"/>
    <w:rsid w:val="00D966BF"/>
    <w:rsid w:val="00D97F53"/>
    <w:rsid w:val="00DA29FB"/>
    <w:rsid w:val="00DA4813"/>
    <w:rsid w:val="00DC2D1B"/>
    <w:rsid w:val="00E10CE1"/>
    <w:rsid w:val="00E32707"/>
    <w:rsid w:val="00E34A1B"/>
    <w:rsid w:val="00E523B6"/>
    <w:rsid w:val="00E60ACC"/>
    <w:rsid w:val="00E60D7D"/>
    <w:rsid w:val="00E65E27"/>
    <w:rsid w:val="00E72B3C"/>
    <w:rsid w:val="00E81E9B"/>
    <w:rsid w:val="00E87D5F"/>
    <w:rsid w:val="00E91A67"/>
    <w:rsid w:val="00EA174D"/>
    <w:rsid w:val="00EA4719"/>
    <w:rsid w:val="00EB0D48"/>
    <w:rsid w:val="00EC2A78"/>
    <w:rsid w:val="00EC590D"/>
    <w:rsid w:val="00EC65F8"/>
    <w:rsid w:val="00ED7436"/>
    <w:rsid w:val="00EE1A7E"/>
    <w:rsid w:val="00F267E2"/>
    <w:rsid w:val="00F44B48"/>
    <w:rsid w:val="00F4587A"/>
    <w:rsid w:val="00F5005E"/>
    <w:rsid w:val="00F61B3E"/>
    <w:rsid w:val="00F9395B"/>
    <w:rsid w:val="00FA2B4A"/>
    <w:rsid w:val="00FD25F0"/>
    <w:rsid w:val="00FD6C3F"/>
    <w:rsid w:val="00FD7A75"/>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385BF"/>
  <w15:chartTrackingRefBased/>
  <w15:docId w15:val="{5E2DD1B9-55C5-4A30-9A5A-DEAF936E7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8A36A3"/>
    <w:pPr>
      <w:spacing w:after="0" w:line="293" w:lineRule="auto"/>
    </w:pPr>
    <w:rPr>
      <w:rFonts w:ascii="Arial" w:hAnsi="Arial" w:cs="Times New Roman"/>
      <w:color w:val="53565A" w:themeColor="text2"/>
      <w:sz w:val="20"/>
      <w:szCs w:val="20"/>
      <w:lang w:val="nl-NL" w:eastAsia="nl-BE"/>
    </w:rPr>
  </w:style>
  <w:style w:type="paragraph" w:styleId="Kop1">
    <w:name w:val="heading 1"/>
    <w:basedOn w:val="1Titel1VVSG"/>
    <w:next w:val="Standaard"/>
    <w:link w:val="Kop1Char"/>
    <w:rsid w:val="0031077D"/>
  </w:style>
  <w:style w:type="paragraph" w:styleId="Kop2">
    <w:name w:val="heading 2"/>
    <w:basedOn w:val="11Titel2VVSG"/>
    <w:next w:val="Standaard"/>
    <w:link w:val="Kop2Char"/>
    <w:uiPriority w:val="9"/>
    <w:unhideWhenUsed/>
    <w:rsid w:val="0031077D"/>
  </w:style>
  <w:style w:type="paragraph" w:styleId="Kop3">
    <w:name w:val="heading 3"/>
    <w:basedOn w:val="111Titel3VVSG"/>
    <w:next w:val="Standaard"/>
    <w:link w:val="Kop3Char"/>
    <w:rsid w:val="0031077D"/>
  </w:style>
  <w:style w:type="paragraph" w:styleId="Kop4">
    <w:name w:val="heading 4"/>
    <w:basedOn w:val="Standaard"/>
    <w:next w:val="Standaard"/>
    <w:link w:val="Kop4Char"/>
    <w:uiPriority w:val="9"/>
    <w:semiHidden/>
    <w:unhideWhenUsed/>
    <w:rsid w:val="003F1A7D"/>
    <w:pPr>
      <w:keepNext/>
      <w:keepLines/>
      <w:spacing w:before="40"/>
      <w:outlineLvl w:val="3"/>
    </w:pPr>
    <w:rPr>
      <w:rFonts w:asciiTheme="majorHAnsi" w:eastAsiaTheme="majorEastAsia" w:hAnsiTheme="majorHAnsi" w:cstheme="majorBidi"/>
      <w:i/>
      <w:iCs/>
      <w:color w:val="43B02A" w:themeColor="accent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CC6EE8"/>
    <w:pPr>
      <w:tabs>
        <w:tab w:val="center" w:pos="4536"/>
        <w:tab w:val="right" w:pos="9072"/>
      </w:tabs>
      <w:spacing w:line="220" w:lineRule="exact"/>
    </w:pPr>
    <w:rPr>
      <w:color w:val="97999B" w:themeColor="background2"/>
      <w:sz w:val="16"/>
      <w:szCs w:val="18"/>
    </w:rPr>
  </w:style>
  <w:style w:type="character" w:customStyle="1" w:styleId="VoettekstChar">
    <w:name w:val="Voettekst Char"/>
    <w:basedOn w:val="Standaardalinea-lettertype"/>
    <w:link w:val="Voettekst"/>
    <w:uiPriority w:val="99"/>
    <w:rsid w:val="00CC6EE8"/>
    <w:rPr>
      <w:rFonts w:ascii="Arial" w:hAnsi="Arial" w:cs="Times New Roman"/>
      <w:color w:val="97999B" w:themeColor="background2"/>
      <w:sz w:val="16"/>
      <w:szCs w:val="18"/>
      <w:lang w:val="nl-NL" w:eastAsia="nl-BE"/>
    </w:rPr>
  </w:style>
  <w:style w:type="character" w:customStyle="1" w:styleId="Kop1Char">
    <w:name w:val="Kop 1 Char"/>
    <w:basedOn w:val="Standaardalinea-lettertype"/>
    <w:link w:val="Kop1"/>
    <w:rsid w:val="0031077D"/>
    <w:rPr>
      <w:rFonts w:ascii="Arial" w:hAnsi="Arial" w:cs="Times New Roman"/>
      <w:b/>
      <w:bCs/>
      <w:color w:val="43B02A" w:themeColor="accent1"/>
      <w:sz w:val="26"/>
      <w:szCs w:val="26"/>
      <w:lang w:eastAsia="nl-BE"/>
    </w:rPr>
  </w:style>
  <w:style w:type="character" w:customStyle="1" w:styleId="Kop2Char">
    <w:name w:val="Kop 2 Char"/>
    <w:basedOn w:val="Standaardalinea-lettertype"/>
    <w:link w:val="Kop2"/>
    <w:uiPriority w:val="9"/>
    <w:rsid w:val="0031077D"/>
    <w:rPr>
      <w:rFonts w:ascii="Arial" w:hAnsi="Arial" w:cs="Times New Roman"/>
      <w:b/>
      <w:bCs/>
      <w:color w:val="53565A" w:themeColor="text2"/>
      <w:sz w:val="24"/>
      <w:szCs w:val="26"/>
      <w:lang w:eastAsia="nl-BE"/>
    </w:rPr>
  </w:style>
  <w:style w:type="character" w:customStyle="1" w:styleId="Kop3Char">
    <w:name w:val="Kop 3 Char"/>
    <w:basedOn w:val="Standaardalinea-lettertype"/>
    <w:link w:val="Kop3"/>
    <w:rsid w:val="0031077D"/>
    <w:rPr>
      <w:rFonts w:ascii="Arial" w:hAnsi="Arial" w:cs="Times New Roman"/>
      <w:b/>
      <w:bCs/>
      <w:color w:val="53565A" w:themeColor="text2"/>
      <w:szCs w:val="24"/>
      <w:lang w:eastAsia="nl-BE"/>
    </w:rPr>
  </w:style>
  <w:style w:type="paragraph" w:styleId="Geenafstand">
    <w:name w:val="No Spacing"/>
    <w:uiPriority w:val="1"/>
    <w:rsid w:val="000F3C51"/>
    <w:pPr>
      <w:spacing w:after="0" w:line="240" w:lineRule="auto"/>
    </w:pPr>
    <w:rPr>
      <w:rFonts w:ascii="Arial" w:hAnsi="Arial" w:cs="Times New Roman"/>
      <w:sz w:val="18"/>
      <w:szCs w:val="20"/>
      <w:lang w:val="nl-NL" w:eastAsia="nl-BE"/>
    </w:rPr>
  </w:style>
  <w:style w:type="paragraph" w:styleId="Lijstalinea">
    <w:name w:val="List Paragraph"/>
    <w:basedOn w:val="Standaard"/>
    <w:uiPriority w:val="34"/>
    <w:qFormat/>
    <w:rsid w:val="000F3C51"/>
    <w:pPr>
      <w:ind w:left="720"/>
      <w:contextualSpacing/>
    </w:pPr>
  </w:style>
  <w:style w:type="paragraph" w:styleId="Koptekst">
    <w:name w:val="header"/>
    <w:basedOn w:val="Standaard"/>
    <w:link w:val="KoptekstChar"/>
    <w:uiPriority w:val="99"/>
    <w:unhideWhenUsed/>
    <w:rsid w:val="00CC6EE8"/>
    <w:pPr>
      <w:tabs>
        <w:tab w:val="center" w:pos="4536"/>
        <w:tab w:val="right" w:pos="9072"/>
      </w:tabs>
    </w:pPr>
  </w:style>
  <w:style w:type="character" w:customStyle="1" w:styleId="KoptekstChar">
    <w:name w:val="Koptekst Char"/>
    <w:basedOn w:val="Standaardalinea-lettertype"/>
    <w:link w:val="Koptekst"/>
    <w:uiPriority w:val="99"/>
    <w:rsid w:val="00CC6EE8"/>
    <w:rPr>
      <w:rFonts w:ascii="Arial" w:hAnsi="Arial" w:cs="Times New Roman"/>
      <w:sz w:val="18"/>
      <w:szCs w:val="20"/>
      <w:lang w:val="nl-NL" w:eastAsia="nl-BE"/>
    </w:rPr>
  </w:style>
  <w:style w:type="table" w:styleId="Tabelraster">
    <w:name w:val="Table Grid"/>
    <w:basedOn w:val="Standaardtabel"/>
    <w:uiPriority w:val="39"/>
    <w:rsid w:val="00573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FA2B4A"/>
    <w:rPr>
      <w:color w:val="808080"/>
    </w:rPr>
  </w:style>
  <w:style w:type="paragraph" w:customStyle="1" w:styleId="OnderwerpVVSG">
    <w:name w:val="Onderwerp_VVSG"/>
    <w:basedOn w:val="Standaard"/>
    <w:qFormat/>
    <w:rsid w:val="000A7398"/>
    <w:pPr>
      <w:spacing w:before="500" w:after="360"/>
    </w:pPr>
    <w:rPr>
      <w:b/>
      <w:bCs/>
      <w:color w:val="000000" w:themeColor="text1"/>
      <w:sz w:val="32"/>
      <w:szCs w:val="25"/>
      <w:lang w:val="nl-BE"/>
    </w:rPr>
  </w:style>
  <w:style w:type="paragraph" w:customStyle="1" w:styleId="BodytekstVVSG">
    <w:name w:val="Bodytekst_VVSG"/>
    <w:basedOn w:val="Standaard"/>
    <w:qFormat/>
    <w:rsid w:val="00516B67"/>
    <w:rPr>
      <w:szCs w:val="22"/>
      <w:lang w:val="nl-BE"/>
    </w:rPr>
  </w:style>
  <w:style w:type="numbering" w:customStyle="1" w:styleId="VVSGtitels">
    <w:name w:val="VVSG_titels"/>
    <w:uiPriority w:val="99"/>
    <w:rsid w:val="00482C9E"/>
    <w:pPr>
      <w:numPr>
        <w:numId w:val="3"/>
      </w:numPr>
    </w:pPr>
  </w:style>
  <w:style w:type="paragraph" w:customStyle="1" w:styleId="1Titel1VVSG">
    <w:name w:val="1. Titel1_VVSG"/>
    <w:basedOn w:val="BodytekstVVSG"/>
    <w:qFormat/>
    <w:rsid w:val="00B6556A"/>
    <w:pPr>
      <w:numPr>
        <w:numId w:val="22"/>
      </w:numPr>
      <w:spacing w:before="360" w:after="120" w:line="240" w:lineRule="auto"/>
      <w:ind w:left="340" w:hanging="340"/>
      <w:outlineLvl w:val="0"/>
    </w:pPr>
    <w:rPr>
      <w:b/>
      <w:bCs/>
      <w:color w:val="43B02A" w:themeColor="accent1"/>
      <w:sz w:val="26"/>
      <w:szCs w:val="26"/>
    </w:rPr>
  </w:style>
  <w:style w:type="paragraph" w:customStyle="1" w:styleId="11Titel2VVSG">
    <w:name w:val="1.1. Titel2_VVSG"/>
    <w:basedOn w:val="1Titel1VVSG"/>
    <w:qFormat/>
    <w:rsid w:val="008D7D00"/>
    <w:pPr>
      <w:numPr>
        <w:ilvl w:val="1"/>
      </w:numPr>
      <w:spacing w:before="240" w:after="60"/>
      <w:ind w:left="510" w:hanging="510"/>
      <w:outlineLvl w:val="1"/>
    </w:pPr>
    <w:rPr>
      <w:color w:val="53565A" w:themeColor="text2"/>
      <w:sz w:val="24"/>
    </w:rPr>
  </w:style>
  <w:style w:type="paragraph" w:customStyle="1" w:styleId="111Titel3VVSG">
    <w:name w:val="1.1.1. Titel3_VVSG"/>
    <w:basedOn w:val="BodytekstVVSG"/>
    <w:qFormat/>
    <w:rsid w:val="008D7D00"/>
    <w:pPr>
      <w:numPr>
        <w:ilvl w:val="2"/>
        <w:numId w:val="22"/>
      </w:numPr>
      <w:spacing w:before="120" w:after="40" w:line="240" w:lineRule="auto"/>
      <w:ind w:left="680" w:hanging="680"/>
      <w:outlineLvl w:val="2"/>
    </w:pPr>
    <w:rPr>
      <w:b/>
      <w:bCs/>
      <w:sz w:val="22"/>
      <w:szCs w:val="24"/>
    </w:rPr>
  </w:style>
  <w:style w:type="paragraph" w:customStyle="1" w:styleId="OpsommingVVSG">
    <w:name w:val="Opsomming_VVSG"/>
    <w:basedOn w:val="BodytekstVVSG"/>
    <w:qFormat/>
    <w:rsid w:val="002A6D3C"/>
    <w:pPr>
      <w:numPr>
        <w:numId w:val="15"/>
      </w:numPr>
      <w:ind w:left="340" w:hanging="340"/>
    </w:pPr>
  </w:style>
  <w:style w:type="paragraph" w:customStyle="1" w:styleId="StreamerVVSG">
    <w:name w:val="Streamer_VVSG"/>
    <w:basedOn w:val="BodytekstVVSG"/>
    <w:qFormat/>
    <w:rsid w:val="00516B67"/>
    <w:pPr>
      <w:spacing w:line="264" w:lineRule="auto"/>
    </w:pPr>
    <w:rPr>
      <w:color w:val="43B02A" w:themeColor="accent1"/>
      <w:sz w:val="28"/>
      <w:szCs w:val="28"/>
    </w:rPr>
  </w:style>
  <w:style w:type="paragraph" w:customStyle="1" w:styleId="BodytekstvetVVSG">
    <w:name w:val="Bodytekst_vet_VVSG"/>
    <w:basedOn w:val="BodytekstVVSG"/>
    <w:qFormat/>
    <w:rsid w:val="000D0025"/>
    <w:rPr>
      <w:b/>
      <w:bCs/>
    </w:rPr>
  </w:style>
  <w:style w:type="numbering" w:customStyle="1" w:styleId="VVSGTitels0">
    <w:name w:val="VVSG_Titels"/>
    <w:uiPriority w:val="99"/>
    <w:rsid w:val="00AA4D6A"/>
    <w:pPr>
      <w:numPr>
        <w:numId w:val="17"/>
      </w:numPr>
    </w:pPr>
  </w:style>
  <w:style w:type="paragraph" w:customStyle="1" w:styleId="NummeringVVSG">
    <w:name w:val="Nummering_VVSG"/>
    <w:basedOn w:val="Standaard"/>
    <w:qFormat/>
    <w:rsid w:val="006272B8"/>
    <w:pPr>
      <w:numPr>
        <w:numId w:val="20"/>
      </w:numPr>
    </w:pPr>
    <w:rPr>
      <w:szCs w:val="22"/>
      <w:lang w:val="nl-BE"/>
    </w:rPr>
  </w:style>
  <w:style w:type="paragraph" w:styleId="Inhopg1">
    <w:name w:val="toc 1"/>
    <w:basedOn w:val="Standaard"/>
    <w:next w:val="Standaard"/>
    <w:autoRedefine/>
    <w:uiPriority w:val="39"/>
    <w:unhideWhenUsed/>
    <w:rsid w:val="008A36A3"/>
    <w:pPr>
      <w:tabs>
        <w:tab w:val="right" w:leader="dot" w:pos="7927"/>
      </w:tabs>
      <w:spacing w:before="120" w:line="300" w:lineRule="auto"/>
      <w:contextualSpacing/>
    </w:pPr>
  </w:style>
  <w:style w:type="paragraph" w:styleId="Inhopg2">
    <w:name w:val="toc 2"/>
    <w:basedOn w:val="Standaard"/>
    <w:next w:val="Standaard"/>
    <w:autoRedefine/>
    <w:uiPriority w:val="39"/>
    <w:unhideWhenUsed/>
    <w:rsid w:val="000A7398"/>
    <w:pPr>
      <w:spacing w:line="300" w:lineRule="auto"/>
      <w:ind w:left="181"/>
    </w:pPr>
  </w:style>
  <w:style w:type="character" w:styleId="Hyperlink">
    <w:name w:val="Hyperlink"/>
    <w:basedOn w:val="Standaardalinea-lettertype"/>
    <w:uiPriority w:val="99"/>
    <w:unhideWhenUsed/>
    <w:rsid w:val="00BC4C62"/>
    <w:rPr>
      <w:color w:val="auto"/>
      <w:u w:val="single"/>
    </w:rPr>
  </w:style>
  <w:style w:type="paragraph" w:styleId="Kopvaninhoudsopgave">
    <w:name w:val="TOC Heading"/>
    <w:next w:val="Standaard"/>
    <w:uiPriority w:val="39"/>
    <w:unhideWhenUsed/>
    <w:qFormat/>
    <w:rsid w:val="00356F5C"/>
    <w:pPr>
      <w:keepLines/>
      <w:spacing w:before="240"/>
    </w:pPr>
    <w:rPr>
      <w:rFonts w:asciiTheme="majorHAnsi" w:eastAsiaTheme="majorEastAsia" w:hAnsiTheme="majorHAnsi" w:cstheme="majorBidi"/>
      <w:b/>
      <w:caps/>
      <w:color w:val="43B02A" w:themeColor="accent1"/>
      <w:spacing w:val="10"/>
      <w:sz w:val="20"/>
      <w:szCs w:val="26"/>
      <w:lang w:eastAsia="nl-BE"/>
    </w:rPr>
  </w:style>
  <w:style w:type="paragraph" w:styleId="Inhopg3">
    <w:name w:val="toc 3"/>
    <w:basedOn w:val="Standaard"/>
    <w:next w:val="Standaard"/>
    <w:autoRedefine/>
    <w:uiPriority w:val="39"/>
    <w:unhideWhenUsed/>
    <w:rsid w:val="000A7398"/>
    <w:pPr>
      <w:spacing w:line="264" w:lineRule="auto"/>
      <w:ind w:left="357"/>
    </w:pPr>
  </w:style>
  <w:style w:type="character" w:customStyle="1" w:styleId="Kop4Char">
    <w:name w:val="Kop 4 Char"/>
    <w:basedOn w:val="Standaardalinea-lettertype"/>
    <w:link w:val="Kop4"/>
    <w:uiPriority w:val="9"/>
    <w:semiHidden/>
    <w:rsid w:val="003F1A7D"/>
    <w:rPr>
      <w:rFonts w:asciiTheme="majorHAnsi" w:eastAsiaTheme="majorEastAsia" w:hAnsiTheme="majorHAnsi" w:cstheme="majorBidi"/>
      <w:i/>
      <w:iCs/>
      <w:color w:val="43B02A" w:themeColor="accent1"/>
      <w:sz w:val="20"/>
      <w:szCs w:val="20"/>
      <w:lang w:val="nl-NL" w:eastAsia="nl-BE"/>
    </w:rPr>
  </w:style>
  <w:style w:type="character" w:styleId="Onopgelostemelding">
    <w:name w:val="Unresolved Mention"/>
    <w:basedOn w:val="Standaardalinea-lettertype"/>
    <w:uiPriority w:val="99"/>
    <w:semiHidden/>
    <w:unhideWhenUsed/>
    <w:rsid w:val="00696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vsg.be/Leden/Vreemdelingen%20documenten/materi%C3%ABle%20opvang/2018%2007%2006%20VVSG%20nota%20LOI%20reserves%20link%20afbouw%20LOI.doc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4" Type="http://schemas.openxmlformats.org/officeDocument/2006/relationships/image" Target="media/image7.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cr\Downloads\VVSG_NOTA_met_logo_GroeneLijn_sjabloon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FE47DDAC6D47B392FAB6441701D2E2"/>
        <w:category>
          <w:name w:val="Algemeen"/>
          <w:gallery w:val="placeholder"/>
        </w:category>
        <w:types>
          <w:type w:val="bbPlcHdr"/>
        </w:types>
        <w:behaviors>
          <w:behavior w:val="content"/>
        </w:behaviors>
        <w:guid w:val="{FCD30EBA-63E9-46A4-A6D0-B20048C6853D}"/>
      </w:docPartPr>
      <w:docPartBody>
        <w:p w:rsidR="00000000" w:rsidRDefault="002E7DEB">
          <w:pPr>
            <w:pStyle w:val="28FE47DDAC6D47B392FAB6441701D2E2"/>
          </w:pPr>
          <w:r w:rsidRPr="000A2112">
            <w:rPr>
              <w:rStyle w:val="Tekstvantijdelijkeaanduiding"/>
            </w:rPr>
            <w:t>K</w:t>
          </w:r>
          <w:r>
            <w:rPr>
              <w:rStyle w:val="Tekstvantijdelijkeaanduiding"/>
            </w:rPr>
            <w:t xml:space="preserve">ies </w:t>
          </w:r>
          <w:r w:rsidRPr="000A2112">
            <w:rPr>
              <w:rStyle w:val="Tekstvantijdelijkeaanduiding"/>
            </w:rPr>
            <w:t>een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 Hew">
    <w:altName w:val="Calibri"/>
    <w:charset w:val="00"/>
    <w:family w:val="auto"/>
    <w:pitch w:val="variable"/>
    <w:sig w:usb0="A000002F" w:usb1="500160FB" w:usb2="0000001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BE" w:eastAsia="nl-B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28FE47DDAC6D47B392FAB6441701D2E2">
    <w:name w:val="28FE47DDAC6D47B392FAB6441701D2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VVSG">
      <a:dk1>
        <a:sysClr val="windowText" lastClr="000000"/>
      </a:dk1>
      <a:lt1>
        <a:sysClr val="window" lastClr="FFFFFF"/>
      </a:lt1>
      <a:dk2>
        <a:srgbClr val="53565A"/>
      </a:dk2>
      <a:lt2>
        <a:srgbClr val="97999B"/>
      </a:lt2>
      <a:accent1>
        <a:srgbClr val="43B02A"/>
      </a:accent1>
      <a:accent2>
        <a:srgbClr val="E03C31"/>
      </a:accent2>
      <a:accent3>
        <a:srgbClr val="702082"/>
      </a:accent3>
      <a:accent4>
        <a:srgbClr val="C6007E"/>
      </a:accent4>
      <a:accent5>
        <a:srgbClr val="53565A"/>
      </a:accent5>
      <a:accent6>
        <a:srgbClr val="97999B"/>
      </a:accent6>
      <a:hlink>
        <a:srgbClr val="000000"/>
      </a:hlink>
      <a:folHlink>
        <a:srgbClr val="000000"/>
      </a:folHlink>
    </a:clrScheme>
    <a:fontScheme name="VVSG">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9122E7B53D8948B3A6E392A8561F1D" ma:contentTypeVersion="8" ma:contentTypeDescription="Een nieuw document maken." ma:contentTypeScope="" ma:versionID="05461d58f208824d5f90224c5f036417">
  <xsd:schema xmlns:xsd="http://www.w3.org/2001/XMLSchema" xmlns:xs="http://www.w3.org/2001/XMLSchema" xmlns:p="http://schemas.microsoft.com/office/2006/metadata/properties" xmlns:ns2="dc1abfb6-379a-4558-a2dc-e2f7db11c9ab" targetNamespace="http://schemas.microsoft.com/office/2006/metadata/properties" ma:root="true" ma:fieldsID="19fbeba848a451388a191d14e97b6cdf" ns2:_="">
    <xsd:import namespace="dc1abfb6-379a-4558-a2dc-e2f7db11c9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abfb6-379a-4558-a2dc-e2f7db11c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dc1abfb6-379a-4558-a2dc-e2f7db11c9a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F7654B-BBE8-4CEF-9AC3-0A1D56268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abfb6-379a-4558-a2dc-e2f7db11c9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2786DD-57AF-49EA-A012-7823C5521E43}">
  <ds:schemaRefs>
    <ds:schemaRef ds:uri="http://schemas.microsoft.com/office/2006/metadata/properties"/>
    <ds:schemaRef ds:uri="http://schemas.microsoft.com/office/infopath/2007/PartnerControls"/>
    <ds:schemaRef ds:uri="dc1abfb6-379a-4558-a2dc-e2f7db11c9ab"/>
  </ds:schemaRefs>
</ds:datastoreItem>
</file>

<file path=customXml/itemProps3.xml><?xml version="1.0" encoding="utf-8"?>
<ds:datastoreItem xmlns:ds="http://schemas.openxmlformats.org/officeDocument/2006/customXml" ds:itemID="{D0948530-C2CB-45E8-A25A-2AE52E65B002}">
  <ds:schemaRefs>
    <ds:schemaRef ds:uri="http://schemas.openxmlformats.org/officeDocument/2006/bibliography"/>
  </ds:schemaRefs>
</ds:datastoreItem>
</file>

<file path=customXml/itemProps4.xml><?xml version="1.0" encoding="utf-8"?>
<ds:datastoreItem xmlns:ds="http://schemas.openxmlformats.org/officeDocument/2006/customXml" ds:itemID="{2053B026-D714-47B0-94DC-99FF737467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VVSG_NOTA_met_logo_GroeneLijn_sjabloon5.dotx</Template>
  <TotalTime>84</TotalTime>
  <Pages>4</Pages>
  <Words>1611</Words>
  <Characters>8862</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Crauwels Fabienne</dc:creator>
  <cp:keywords/>
  <dc:description/>
  <cp:lastModifiedBy>Crauwels Fabienne</cp:lastModifiedBy>
  <cp:revision>87</cp:revision>
  <cp:lastPrinted>2022-10-17T12:13:00Z</cp:lastPrinted>
  <dcterms:created xsi:type="dcterms:W3CDTF">2023-10-04T11:45:00Z</dcterms:created>
  <dcterms:modified xsi:type="dcterms:W3CDTF">2023-10-04T13:26:00Z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0x010100FD9122E7B53D8948B3A6E392A8561F1D</vt:lpwstr>
  </property>
  <property fmtid="{D5CDD505-2E9C-101B-9397-08002B2CF9AE}" pid="3" name="Order">
    <vt:r8>3620200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