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59BF" w:rsidRDefault="00DB5DC6" w:rsidP="00072BAC">
      <w:pPr>
        <w:pStyle w:val="Titel"/>
        <w:jc w:val="both"/>
      </w:pPr>
      <w:r>
        <w:rPr>
          <w:b/>
          <w:lang w:val="nl-NL"/>
        </w:rPr>
        <w:t>LOI</w:t>
      </w:r>
      <w:r w:rsidR="00B75E22">
        <w:rPr>
          <w:b/>
          <w:lang w:val="nl-NL"/>
        </w:rPr>
        <w:t>:</w:t>
      </w:r>
      <w:r w:rsidR="002346AF">
        <w:rPr>
          <w:b/>
          <w:lang w:val="nl-NL"/>
        </w:rPr>
        <w:t xml:space="preserve"> </w:t>
      </w:r>
      <w:r w:rsidR="00301D3C">
        <w:rPr>
          <w:b/>
          <w:lang w:val="nl-NL"/>
        </w:rPr>
        <w:t>A</w:t>
      </w:r>
      <w:r>
        <w:rPr>
          <w:b/>
          <w:lang w:val="nl-NL"/>
        </w:rPr>
        <w:t>fbouw opgebouwde reserves</w:t>
      </w:r>
      <w:r w:rsidR="002346AF">
        <w:rPr>
          <w:b/>
          <w:lang w:val="nl-NL"/>
        </w:rPr>
        <w:t xml:space="preserve"> en beperken toekomstige reserves</w:t>
      </w:r>
      <w:r w:rsidR="00301D3C">
        <w:rPr>
          <w:b/>
          <w:lang w:val="nl-NL"/>
        </w:rPr>
        <w:t xml:space="preserve"> – afbouw LOI-plaatsen</w:t>
      </w:r>
    </w:p>
    <w:p w:rsidR="0009745D" w:rsidRDefault="0007298E" w:rsidP="00DB5DC6">
      <w:pPr>
        <w:pStyle w:val="Beschrijving"/>
        <w:jc w:val="both"/>
        <w:rPr>
          <w:lang w:val="nl-NL"/>
        </w:rPr>
      </w:pPr>
      <w:r>
        <w:rPr>
          <w:lang w:val="nl-NL"/>
        </w:rPr>
        <w:t>6 juli</w:t>
      </w:r>
      <w:r w:rsidR="00723C79">
        <w:rPr>
          <w:lang w:val="nl-NL"/>
        </w:rPr>
        <w:t xml:space="preserve"> </w:t>
      </w:r>
      <w:r w:rsidR="002346AF">
        <w:rPr>
          <w:lang w:val="nl-NL"/>
        </w:rPr>
        <w:t>2018</w:t>
      </w:r>
    </w:p>
    <w:p w:rsidR="00840855" w:rsidRPr="00840855" w:rsidRDefault="00840855" w:rsidP="005940E4">
      <w:pPr>
        <w:pStyle w:val="Kop1"/>
        <w:numPr>
          <w:ilvl w:val="0"/>
          <w:numId w:val="10"/>
        </w:numPr>
      </w:pPr>
      <w:r>
        <w:t>Inleiding</w:t>
      </w:r>
    </w:p>
    <w:p w:rsidR="007E2B32" w:rsidRDefault="007E2B32" w:rsidP="00465ACC">
      <w:pPr>
        <w:jc w:val="both"/>
        <w:rPr>
          <w:lang w:val="nl-NL"/>
        </w:rPr>
      </w:pPr>
    </w:p>
    <w:p w:rsidR="007E2B32" w:rsidRDefault="007E2B32" w:rsidP="007E2B32">
      <w:pPr>
        <w:jc w:val="both"/>
        <w:rPr>
          <w:lang w:val="nl-NL"/>
        </w:rPr>
      </w:pPr>
      <w:r w:rsidRPr="007E2B32">
        <w:rPr>
          <w:lang w:val="nl-NL"/>
        </w:rPr>
        <w:t xml:space="preserve">Fedasil moet 22 miljoen euro besparen. Een van de maatregelen die daartoe worden genomen, is de terugbetaling van de LOI-reserves: actuele reserves worden afgebouwd en toekomstige reserves worden beperkt tot een werkingsreserve. </w:t>
      </w:r>
    </w:p>
    <w:p w:rsidR="002551A6" w:rsidRDefault="002551A6" w:rsidP="007E2B32">
      <w:pPr>
        <w:jc w:val="both"/>
        <w:rPr>
          <w:lang w:val="nl-NL"/>
        </w:rPr>
      </w:pPr>
    </w:p>
    <w:p w:rsidR="002551A6" w:rsidRDefault="002551A6" w:rsidP="00301D3C">
      <w:pPr>
        <w:jc w:val="both"/>
        <w:rPr>
          <w:lang w:val="nl-NL"/>
        </w:rPr>
      </w:pPr>
      <w:r w:rsidRPr="002551A6">
        <w:rPr>
          <w:lang w:val="nl-NL"/>
        </w:rPr>
        <w:t>De VVSG werd geraadpleegd over de afbouw van de bestaande en het voorkomen van de toekomstige LOI-reserves. De VVSG</w:t>
      </w:r>
      <w:r w:rsidR="00B65B6B">
        <w:rPr>
          <w:lang w:val="nl-NL"/>
        </w:rPr>
        <w:t xml:space="preserve"> kan zich vinden in deze aanpak.</w:t>
      </w:r>
      <w:r w:rsidR="00301D3C">
        <w:rPr>
          <w:lang w:val="nl-NL"/>
        </w:rPr>
        <w:t xml:space="preserve"> </w:t>
      </w:r>
      <w:r w:rsidR="00B65B6B">
        <w:rPr>
          <w:lang w:val="nl-NL"/>
        </w:rPr>
        <w:t xml:space="preserve">De federale overheid zal immers niet terugkomen op de door Fedasil te realiseren besparingen. Eventuele alternatieve maatregelen kunnen een grotere negatieve impact hebben. Bovendien is niemand </w:t>
      </w:r>
      <w:r w:rsidRPr="002551A6">
        <w:rPr>
          <w:lang w:val="nl-NL"/>
        </w:rPr>
        <w:t>gebaat bij in de LOI-boekhouding de facto geblokkeerde LOI-reserves. Het overblijvende punt van discussie zijn de lopende dossiers en de reeds i</w:t>
      </w:r>
      <w:r w:rsidR="00301D3C">
        <w:rPr>
          <w:lang w:val="nl-NL"/>
        </w:rPr>
        <w:t>ngediende investeringsaanvragen (</w:t>
      </w:r>
      <w:r w:rsidR="00301D3C" w:rsidRPr="00301D3C">
        <w:rPr>
          <w:lang w:val="nl-NL"/>
        </w:rPr>
        <w:t xml:space="preserve">zie onder punt </w:t>
      </w:r>
      <w:r w:rsidR="009213C2">
        <w:rPr>
          <w:lang w:val="nl-NL"/>
        </w:rPr>
        <w:t>6</w:t>
      </w:r>
      <w:r w:rsidR="00301D3C" w:rsidRPr="00301D3C">
        <w:rPr>
          <w:lang w:val="nl-NL"/>
        </w:rPr>
        <w:t>).</w:t>
      </w:r>
    </w:p>
    <w:p w:rsidR="007E2B32" w:rsidRDefault="007E2B32" w:rsidP="007E2B32">
      <w:pPr>
        <w:pStyle w:val="Kop1"/>
      </w:pPr>
      <w:r>
        <w:rPr>
          <w:lang w:val="nl-BE"/>
        </w:rPr>
        <w:t>Afbouw van de actuele LOI-reserves: de 75%-25%-maatregel</w:t>
      </w:r>
    </w:p>
    <w:p w:rsidR="007E2B32" w:rsidRDefault="007E2B32" w:rsidP="007E2B32">
      <w:pPr>
        <w:jc w:val="both"/>
        <w:rPr>
          <w:lang w:val="nl-NL"/>
        </w:rPr>
      </w:pPr>
      <w:r w:rsidRPr="00C64A4D">
        <w:rPr>
          <w:lang w:val="nl-NL"/>
        </w:rPr>
        <w:t xml:space="preserve">De afbouw van de actuele reserves gebeurt </w:t>
      </w:r>
      <w:r w:rsidRPr="00C64A4D">
        <w:rPr>
          <w:b/>
          <w:lang w:val="nl-NL"/>
        </w:rPr>
        <w:t>op vrijwillige basis</w:t>
      </w:r>
      <w:r w:rsidRPr="00C64A4D">
        <w:rPr>
          <w:lang w:val="nl-NL"/>
        </w:rPr>
        <w:t>. Als het OCMW ingaat op de oproep van Fedasil, kan het 25% van de actuele reserve vrij besteden</w:t>
      </w:r>
      <w:r w:rsidR="00EE0149">
        <w:rPr>
          <w:lang w:val="nl-NL"/>
        </w:rPr>
        <w:t xml:space="preserve"> zonder voorafgaand akkoord van Fedasil en zonder in te dienen verantwoording</w:t>
      </w:r>
      <w:r w:rsidRPr="00C64A4D">
        <w:rPr>
          <w:lang w:val="nl-NL"/>
        </w:rPr>
        <w:t>. Dus ook aan projecten die niets met het LOI te maken hebben. De resterende 75% moet aan Fedasil teruggestort worden.</w:t>
      </w:r>
    </w:p>
    <w:p w:rsidR="007E2B32" w:rsidRPr="009C7265" w:rsidRDefault="007E2B32" w:rsidP="007E2B32">
      <w:pPr>
        <w:rPr>
          <w:lang w:val="nl-NL"/>
        </w:rPr>
      </w:pPr>
    </w:p>
    <w:p w:rsidR="007E2B32" w:rsidRPr="00C64A4D" w:rsidRDefault="007E2B32" w:rsidP="007E2B32">
      <w:pPr>
        <w:jc w:val="both"/>
        <w:rPr>
          <w:lang w:val="nl-NL"/>
        </w:rPr>
      </w:pPr>
      <w:r w:rsidRPr="00507022">
        <w:rPr>
          <w:u w:val="single"/>
          <w:lang w:val="nl-NL"/>
        </w:rPr>
        <w:t>De 75% - 25% maatregel is</w:t>
      </w:r>
      <w:r w:rsidRPr="00C64A4D">
        <w:rPr>
          <w:lang w:val="nl-NL"/>
        </w:rPr>
        <w:t>:</w:t>
      </w:r>
    </w:p>
    <w:p w:rsidR="00B308AC" w:rsidRDefault="00B308AC" w:rsidP="005940E4">
      <w:pPr>
        <w:pStyle w:val="Lijstalinea"/>
        <w:numPr>
          <w:ilvl w:val="0"/>
          <w:numId w:val="7"/>
        </w:numPr>
        <w:jc w:val="both"/>
        <w:rPr>
          <w:lang w:val="nl-NL"/>
        </w:rPr>
      </w:pPr>
      <w:r>
        <w:rPr>
          <w:lang w:val="nl-NL"/>
        </w:rPr>
        <w:t>e</w:t>
      </w:r>
      <w:r w:rsidR="007E2B32">
        <w:rPr>
          <w:lang w:val="nl-NL"/>
        </w:rPr>
        <w:t>enmalig</w:t>
      </w:r>
    </w:p>
    <w:p w:rsidR="00B308AC" w:rsidRPr="00C91577" w:rsidRDefault="00B308AC" w:rsidP="005940E4">
      <w:pPr>
        <w:pStyle w:val="Lijstalinea"/>
        <w:numPr>
          <w:ilvl w:val="0"/>
          <w:numId w:val="7"/>
        </w:numPr>
        <w:jc w:val="both"/>
        <w:rPr>
          <w:b/>
          <w:lang w:val="nl-NL"/>
        </w:rPr>
      </w:pPr>
      <w:r w:rsidRPr="00B9475D">
        <w:rPr>
          <w:lang w:val="nl-NL"/>
        </w:rPr>
        <w:t>van de geaccumuleerde LOI-reserv</w:t>
      </w:r>
      <w:r w:rsidRPr="00C91577">
        <w:rPr>
          <w:b/>
          <w:lang w:val="nl-NL"/>
        </w:rPr>
        <w:t xml:space="preserve">e </w:t>
      </w:r>
      <w:r w:rsidRPr="009C2F4F">
        <w:rPr>
          <w:b/>
          <w:u w:val="single"/>
          <w:lang w:val="nl-NL"/>
        </w:rPr>
        <w:t>worden eerst afgetrokken</w:t>
      </w:r>
      <w:r w:rsidRPr="00C91577">
        <w:rPr>
          <w:b/>
          <w:lang w:val="nl-NL"/>
        </w:rPr>
        <w:t xml:space="preserve">: </w:t>
      </w:r>
    </w:p>
    <w:p w:rsidR="007E2B32" w:rsidRPr="00B9475D" w:rsidRDefault="00B308AC" w:rsidP="005940E4">
      <w:pPr>
        <w:pStyle w:val="Lijstalinea"/>
        <w:numPr>
          <w:ilvl w:val="1"/>
          <w:numId w:val="7"/>
        </w:numPr>
        <w:jc w:val="both"/>
        <w:rPr>
          <w:lang w:val="nl-NL"/>
        </w:rPr>
      </w:pPr>
      <w:r w:rsidRPr="00B9475D">
        <w:rPr>
          <w:lang w:val="nl-NL"/>
        </w:rPr>
        <w:t>deel van de LOI-reserve opgebouwd met andere inkomsten dan de door Fedasil betaalde LOI-subsidies (bijvoorbeeld loonsubsidie van andere bron</w:t>
      </w:r>
      <w:r w:rsidR="009213C2">
        <w:rPr>
          <w:lang w:val="nl-NL"/>
        </w:rPr>
        <w:t>, huurinkomsten van een derde voor een deel van het gebouw, enz.</w:t>
      </w:r>
      <w:r w:rsidRPr="00B9475D">
        <w:rPr>
          <w:lang w:val="nl-NL"/>
        </w:rPr>
        <w:t>), op voorwaarde dat die bedragen al in de boekhouding geïdentificeerd kunnen worden</w:t>
      </w:r>
    </w:p>
    <w:p w:rsidR="00B308AC" w:rsidRPr="00B9475D" w:rsidRDefault="00B308AC" w:rsidP="005940E4">
      <w:pPr>
        <w:pStyle w:val="Lijstalinea"/>
        <w:numPr>
          <w:ilvl w:val="1"/>
          <w:numId w:val="7"/>
        </w:numPr>
        <w:jc w:val="both"/>
        <w:rPr>
          <w:lang w:val="nl-NL"/>
        </w:rPr>
      </w:pPr>
      <w:r w:rsidRPr="00B9475D">
        <w:rPr>
          <w:lang w:val="nl-NL"/>
        </w:rPr>
        <w:t>deel van de LOI-reserve opgebouwd met overschotten van de door Europa betaalde subsidies voor de opvang in het LOI in het kader van resettlement</w:t>
      </w:r>
    </w:p>
    <w:p w:rsidR="00B308AC" w:rsidRPr="00B9475D" w:rsidRDefault="00B308AC" w:rsidP="005940E4">
      <w:pPr>
        <w:pStyle w:val="Lijstalinea"/>
        <w:numPr>
          <w:ilvl w:val="1"/>
          <w:numId w:val="7"/>
        </w:numPr>
        <w:jc w:val="both"/>
        <w:rPr>
          <w:lang w:val="nl-NL"/>
        </w:rPr>
      </w:pPr>
      <w:r w:rsidRPr="00B9475D">
        <w:rPr>
          <w:lang w:val="nl-NL"/>
        </w:rPr>
        <w:t>10% werkingsreserve</w:t>
      </w:r>
    </w:p>
    <w:p w:rsidR="007E2B32" w:rsidRPr="003A6071" w:rsidRDefault="007E2B32" w:rsidP="005940E4">
      <w:pPr>
        <w:pStyle w:val="Lijstalinea"/>
        <w:numPr>
          <w:ilvl w:val="0"/>
          <w:numId w:val="7"/>
        </w:numPr>
        <w:jc w:val="both"/>
        <w:rPr>
          <w:lang w:val="nl-NL"/>
        </w:rPr>
      </w:pPr>
      <w:r w:rsidRPr="003A6071">
        <w:rPr>
          <w:lang w:val="nl-NL"/>
        </w:rPr>
        <w:t xml:space="preserve">de 10% werkingsreserve wordt berekend op de in het vorige boekjaar werkelijk uitbetaalde subsidies </w:t>
      </w:r>
      <w:r>
        <w:rPr>
          <w:lang w:val="nl-NL"/>
        </w:rPr>
        <w:t>(</w:t>
      </w:r>
      <w:r w:rsidRPr="003A6071">
        <w:rPr>
          <w:lang w:val="nl-NL"/>
        </w:rPr>
        <w:t>als de actuele reserve minder dan de 10% werkingsreserve bedraagt, behoudt het LOI de hele actuele reserve</w:t>
      </w:r>
      <w:r>
        <w:rPr>
          <w:lang w:val="nl-NL"/>
        </w:rPr>
        <w:t>)</w:t>
      </w:r>
    </w:p>
    <w:p w:rsidR="007E2B32" w:rsidRDefault="007E2B32" w:rsidP="005940E4">
      <w:pPr>
        <w:pStyle w:val="Lijstalinea"/>
        <w:numPr>
          <w:ilvl w:val="0"/>
          <w:numId w:val="7"/>
        </w:numPr>
        <w:jc w:val="both"/>
        <w:rPr>
          <w:lang w:val="nl-NL"/>
        </w:rPr>
      </w:pPr>
      <w:r>
        <w:rPr>
          <w:lang w:val="nl-NL"/>
        </w:rPr>
        <w:t>van het saldo wordt 75% terug aan Fedasil</w:t>
      </w:r>
      <w:r w:rsidRPr="00E565E5">
        <w:rPr>
          <w:lang w:val="nl-NL"/>
        </w:rPr>
        <w:t xml:space="preserve"> </w:t>
      </w:r>
      <w:r>
        <w:rPr>
          <w:lang w:val="nl-NL"/>
        </w:rPr>
        <w:t>gestort</w:t>
      </w:r>
    </w:p>
    <w:p w:rsidR="007E2B32" w:rsidRDefault="007E2B32" w:rsidP="005940E4">
      <w:pPr>
        <w:pStyle w:val="Lijstalinea"/>
        <w:numPr>
          <w:ilvl w:val="0"/>
          <w:numId w:val="7"/>
        </w:numPr>
        <w:jc w:val="both"/>
        <w:rPr>
          <w:lang w:val="nl-NL"/>
        </w:rPr>
      </w:pPr>
      <w:r>
        <w:rPr>
          <w:lang w:val="nl-NL"/>
        </w:rPr>
        <w:lastRenderedPageBreak/>
        <w:t>de overige</w:t>
      </w:r>
      <w:r w:rsidRPr="00E565E5">
        <w:rPr>
          <w:lang w:val="nl-NL"/>
        </w:rPr>
        <w:t xml:space="preserve"> 25% </w:t>
      </w:r>
      <w:r>
        <w:rPr>
          <w:lang w:val="nl-NL"/>
        </w:rPr>
        <w:t xml:space="preserve">is voor het OCMW </w:t>
      </w:r>
      <w:r w:rsidRPr="00E565E5">
        <w:rPr>
          <w:lang w:val="nl-NL"/>
        </w:rPr>
        <w:t xml:space="preserve">dat </w:t>
      </w:r>
      <w:r>
        <w:rPr>
          <w:lang w:val="nl-NL"/>
        </w:rPr>
        <w:t xml:space="preserve">het </w:t>
      </w:r>
      <w:r w:rsidRPr="00E565E5">
        <w:rPr>
          <w:lang w:val="nl-NL"/>
        </w:rPr>
        <w:t xml:space="preserve">bedrag vrij </w:t>
      </w:r>
      <w:r>
        <w:rPr>
          <w:lang w:val="nl-NL"/>
        </w:rPr>
        <w:t xml:space="preserve">kan </w:t>
      </w:r>
      <w:r w:rsidRPr="00E565E5">
        <w:rPr>
          <w:lang w:val="nl-NL"/>
        </w:rPr>
        <w:t>besteden dus ook aan projecten die geen verband houden met het LOI</w:t>
      </w:r>
      <w:r>
        <w:rPr>
          <w:lang w:val="nl-NL"/>
        </w:rPr>
        <w:t>.</w:t>
      </w:r>
    </w:p>
    <w:p w:rsidR="007E2B32" w:rsidRDefault="007E2B32" w:rsidP="007E2B32">
      <w:pPr>
        <w:rPr>
          <w:lang w:val="nl-NL"/>
        </w:rPr>
      </w:pPr>
    </w:p>
    <w:p w:rsidR="007E2B32" w:rsidRDefault="007E2B32" w:rsidP="007E2B32">
      <w:pPr>
        <w:rPr>
          <w:lang w:val="nl-NL"/>
        </w:rPr>
      </w:pPr>
      <w:r>
        <w:rPr>
          <w:lang w:val="nl-NL"/>
        </w:rPr>
        <w:t xml:space="preserve">OCMW’s die gebruik willen maken van deze éénmalige maatregel, moeten </w:t>
      </w:r>
      <w:r w:rsidRPr="00430842">
        <w:rPr>
          <w:b/>
          <w:lang w:val="nl-NL"/>
        </w:rPr>
        <w:t xml:space="preserve">voor </w:t>
      </w:r>
      <w:r w:rsidR="00430842" w:rsidRPr="00430842">
        <w:rPr>
          <w:b/>
          <w:lang w:val="nl-NL"/>
        </w:rPr>
        <w:t>31 augustus</w:t>
      </w:r>
      <w:r w:rsidRPr="00430842">
        <w:rPr>
          <w:b/>
          <w:lang w:val="nl-NL"/>
        </w:rPr>
        <w:t xml:space="preserve"> 2018 intekenen</w:t>
      </w:r>
      <w:r w:rsidR="00455333">
        <w:rPr>
          <w:rStyle w:val="Voetnootmarkering"/>
          <w:b/>
          <w:lang w:val="nl-NL"/>
        </w:rPr>
        <w:footnoteReference w:id="1"/>
      </w:r>
      <w:r>
        <w:rPr>
          <w:lang w:val="nl-NL"/>
        </w:rPr>
        <w:t xml:space="preserve">. Meer informatie in de </w:t>
      </w:r>
      <w:hyperlink r:id="rId8" w:history="1">
        <w:r w:rsidRPr="009213C2">
          <w:rPr>
            <w:rStyle w:val="Hyperlink"/>
            <w:lang w:val="nl-NL"/>
          </w:rPr>
          <w:t>Oproep van Fedasil</w:t>
        </w:r>
      </w:hyperlink>
      <w:r>
        <w:rPr>
          <w:lang w:val="nl-NL"/>
        </w:rPr>
        <w:t>.</w:t>
      </w:r>
    </w:p>
    <w:p w:rsidR="007E2B32" w:rsidRDefault="007E2B32" w:rsidP="007E2B32">
      <w:pPr>
        <w:rPr>
          <w:lang w:val="nl-NL"/>
        </w:rPr>
      </w:pPr>
    </w:p>
    <w:p w:rsidR="000507AE" w:rsidRPr="000507AE" w:rsidRDefault="000507AE" w:rsidP="000507AE">
      <w:pPr>
        <w:jc w:val="both"/>
        <w:rPr>
          <w:lang w:val="nl-NL"/>
        </w:rPr>
      </w:pPr>
      <w:r w:rsidRPr="000507AE">
        <w:rPr>
          <w:lang w:val="nl-NL"/>
        </w:rPr>
        <w:t>De controle op de 75%-25%-maatregel gebeurt tegen 31/8/2018 aan de hand van de bewijsstukken. Aangezien de besteding van de 25% vrij is, kan de controle alleen gaan over de berekening van de 25%.</w:t>
      </w:r>
    </w:p>
    <w:p w:rsidR="000507AE" w:rsidRDefault="000507AE" w:rsidP="00507022">
      <w:pPr>
        <w:jc w:val="both"/>
        <w:rPr>
          <w:b/>
          <w:lang w:val="nl-NL"/>
        </w:rPr>
      </w:pPr>
    </w:p>
    <w:p w:rsidR="007E2B32" w:rsidRPr="00507022" w:rsidRDefault="007E2B32" w:rsidP="00507022">
      <w:pPr>
        <w:jc w:val="both"/>
      </w:pPr>
      <w:r w:rsidRPr="003A6071">
        <w:rPr>
          <w:b/>
        </w:rPr>
        <w:t>Let op,</w:t>
      </w:r>
      <w:r>
        <w:t xml:space="preserve"> wie niet intekent, zal later 90% van de actuele reserve - na aftrek van de 10% wervingsreserve – moeten terugstorten (zie punt </w:t>
      </w:r>
      <w:r w:rsidR="007053C8">
        <w:t>3</w:t>
      </w:r>
      <w:r>
        <w:t>).</w:t>
      </w:r>
      <w:r w:rsidR="007053C8" w:rsidRPr="007053C8">
        <w:t xml:space="preserve"> De vrijwilligheid van de afbouw is dus wel relatief.</w:t>
      </w:r>
    </w:p>
    <w:p w:rsidR="007E2B32" w:rsidRDefault="007F2E77" w:rsidP="007E2B32">
      <w:pPr>
        <w:pStyle w:val="Kop1"/>
        <w:rPr>
          <w:lang w:val="nl-BE"/>
        </w:rPr>
      </w:pPr>
      <w:r>
        <w:rPr>
          <w:lang w:val="nl-BE"/>
        </w:rPr>
        <w:t>Beperken van de</w:t>
      </w:r>
      <w:r w:rsidR="007E2B32">
        <w:rPr>
          <w:lang w:val="nl-BE"/>
        </w:rPr>
        <w:t xml:space="preserve"> toekomstige reserves</w:t>
      </w:r>
      <w:r>
        <w:rPr>
          <w:lang w:val="nl-BE"/>
        </w:rPr>
        <w:t>: de 90%-10%-maatregel</w:t>
      </w:r>
    </w:p>
    <w:p w:rsidR="007E2B32" w:rsidRDefault="007E2B32" w:rsidP="007E2B32">
      <w:pPr>
        <w:jc w:val="both"/>
        <w:rPr>
          <w:lang w:val="x-none"/>
        </w:rPr>
      </w:pPr>
      <w:r w:rsidRPr="003A6071">
        <w:rPr>
          <w:lang w:val="x-none"/>
        </w:rPr>
        <w:t xml:space="preserve">Het voorkomen van de opbouw van nieuwe reserves gebeurt door een aanpassing van het koninklijk besluit dat de LOI-subsidies regelt en gebeurt dus </w:t>
      </w:r>
      <w:r w:rsidRPr="003A6071">
        <w:rPr>
          <w:b/>
          <w:lang w:val="x-none"/>
        </w:rPr>
        <w:t>niet op vrijwillige basis</w:t>
      </w:r>
      <w:r w:rsidRPr="003A6071">
        <w:rPr>
          <w:lang w:val="x-none"/>
        </w:rPr>
        <w:t xml:space="preserve">. Ook de LOI-conventies zullen aangepast worden. In de toekomst zal een OCMW op het einde van een jaar telkens maximaal 10% van de in het vorige boekjaar werkelijk uitbetaalde subsidies als werkingsreserve kunnen meenemen naar het volgende werkjaar. Bij grote investeringen kan er een afwijking aangevraagd worden. </w:t>
      </w:r>
    </w:p>
    <w:p w:rsidR="007E2B32" w:rsidRDefault="007E2B32" w:rsidP="007E2B32"/>
    <w:p w:rsidR="007E2B32" w:rsidRPr="003A6071" w:rsidRDefault="007E2B32" w:rsidP="007E2B32">
      <w:pPr>
        <w:jc w:val="both"/>
      </w:pPr>
      <w:r w:rsidRPr="00507022">
        <w:rPr>
          <w:u w:val="single"/>
        </w:rPr>
        <w:t>D</w:t>
      </w:r>
      <w:r w:rsidRPr="00507022">
        <w:rPr>
          <w:u w:val="single"/>
          <w:lang w:val="x-none"/>
        </w:rPr>
        <w:t>e 90% - 10% maatregel</w:t>
      </w:r>
      <w:r w:rsidRPr="00507022">
        <w:rPr>
          <w:u w:val="single"/>
        </w:rPr>
        <w:t xml:space="preserve"> is</w:t>
      </w:r>
      <w:r>
        <w:t>:</w:t>
      </w:r>
    </w:p>
    <w:p w:rsidR="007E2B32" w:rsidRPr="004003A8" w:rsidRDefault="007E2B32" w:rsidP="005940E4">
      <w:pPr>
        <w:pStyle w:val="Lijstalinea"/>
        <w:numPr>
          <w:ilvl w:val="0"/>
          <w:numId w:val="8"/>
        </w:numPr>
        <w:jc w:val="both"/>
        <w:rPr>
          <w:lang w:val="x-none"/>
        </w:rPr>
      </w:pPr>
      <w:r w:rsidRPr="004003A8">
        <w:rPr>
          <w:lang w:val="x-none"/>
        </w:rPr>
        <w:t>jaarlijks</w:t>
      </w:r>
    </w:p>
    <w:p w:rsidR="007E2B32" w:rsidRPr="004003A8" w:rsidRDefault="007E2B32" w:rsidP="005940E4">
      <w:pPr>
        <w:pStyle w:val="Lijstalinea"/>
        <w:numPr>
          <w:ilvl w:val="0"/>
          <w:numId w:val="8"/>
        </w:numPr>
        <w:jc w:val="both"/>
        <w:rPr>
          <w:lang w:val="x-none"/>
        </w:rPr>
      </w:pPr>
      <w:r w:rsidRPr="004003A8">
        <w:rPr>
          <w:lang w:val="x-none"/>
        </w:rPr>
        <w:t xml:space="preserve">op het einde van een jaar mag een LOI 10% van de in het vorige boekjaar werkelijk uitbetaalde subsidies als werkingsreserve </w:t>
      </w:r>
      <w:r>
        <w:t>meenemen naar</w:t>
      </w:r>
      <w:r w:rsidRPr="004003A8">
        <w:rPr>
          <w:lang w:val="x-none"/>
        </w:rPr>
        <w:t xml:space="preserve"> het komende </w:t>
      </w:r>
      <w:r>
        <w:t>werk</w:t>
      </w:r>
      <w:r w:rsidRPr="004003A8">
        <w:rPr>
          <w:lang w:val="x-none"/>
        </w:rPr>
        <w:t>jaar</w:t>
      </w:r>
    </w:p>
    <w:p w:rsidR="007E2B32" w:rsidRPr="004003A8" w:rsidRDefault="007E2B32" w:rsidP="005940E4">
      <w:pPr>
        <w:pStyle w:val="Lijstalinea"/>
        <w:numPr>
          <w:ilvl w:val="0"/>
          <w:numId w:val="8"/>
        </w:numPr>
        <w:jc w:val="both"/>
        <w:rPr>
          <w:lang w:val="x-none"/>
        </w:rPr>
      </w:pPr>
      <w:r w:rsidRPr="004003A8">
        <w:rPr>
          <w:lang w:val="x-none"/>
        </w:rPr>
        <w:t>alles boven de 10 % werkingsreserve moet aan Fedasil teruggestort worden</w:t>
      </w:r>
    </w:p>
    <w:p w:rsidR="007E2B32" w:rsidRPr="004003A8" w:rsidRDefault="007E2B32" w:rsidP="005940E4">
      <w:pPr>
        <w:pStyle w:val="Lijstalinea"/>
        <w:numPr>
          <w:ilvl w:val="0"/>
          <w:numId w:val="8"/>
        </w:numPr>
        <w:jc w:val="both"/>
        <w:rPr>
          <w:lang w:val="x-none"/>
        </w:rPr>
      </w:pPr>
      <w:r w:rsidRPr="004003A8">
        <w:rPr>
          <w:lang w:val="x-none"/>
        </w:rPr>
        <w:t xml:space="preserve">voor een </w:t>
      </w:r>
      <w:r>
        <w:t xml:space="preserve">toekomstige grote </w:t>
      </w:r>
      <w:r w:rsidRPr="004003A8">
        <w:rPr>
          <w:lang w:val="x-none"/>
        </w:rPr>
        <w:t xml:space="preserve">investering kan met goedkeuring van Fedasil een </w:t>
      </w:r>
      <w:r>
        <w:t xml:space="preserve">grotere </w:t>
      </w:r>
      <w:r w:rsidRPr="004003A8">
        <w:rPr>
          <w:lang w:val="x-none"/>
        </w:rPr>
        <w:t>reserve opgebouwd worden</w:t>
      </w:r>
    </w:p>
    <w:p w:rsidR="007E2B32" w:rsidRPr="004003A8" w:rsidRDefault="007E2B32" w:rsidP="005940E4">
      <w:pPr>
        <w:pStyle w:val="Lijstalinea"/>
        <w:numPr>
          <w:ilvl w:val="0"/>
          <w:numId w:val="8"/>
        </w:numPr>
        <w:jc w:val="both"/>
        <w:rPr>
          <w:lang w:val="x-none"/>
        </w:rPr>
      </w:pPr>
      <w:r w:rsidRPr="004003A8">
        <w:rPr>
          <w:lang w:val="x-none"/>
        </w:rPr>
        <w:t>bij sluiting van een LOI moet de 10% werkingsreserve volstaan o</w:t>
      </w:r>
      <w:r>
        <w:rPr>
          <w:lang w:val="x-none"/>
        </w:rPr>
        <w:t>m de sluitingskosten te dekken.</w:t>
      </w:r>
    </w:p>
    <w:p w:rsidR="007E2B32" w:rsidRDefault="007E2B32" w:rsidP="007E2B32">
      <w:pPr>
        <w:jc w:val="both"/>
        <w:rPr>
          <w:lang w:val="x-none"/>
        </w:rPr>
      </w:pPr>
    </w:p>
    <w:p w:rsidR="007E2B32" w:rsidRDefault="007E2B32" w:rsidP="00E565E5">
      <w:pPr>
        <w:jc w:val="both"/>
        <w:rPr>
          <w:lang w:val="x-none"/>
        </w:rPr>
      </w:pPr>
      <w:r w:rsidRPr="00546527">
        <w:rPr>
          <w:b/>
          <w:lang w:val="x-none"/>
        </w:rPr>
        <w:t>Fedasil zal de 90%-10%-maatregel toepassen op de volledige bestaande reserve</w:t>
      </w:r>
      <w:r>
        <w:rPr>
          <w:b/>
        </w:rPr>
        <w:t xml:space="preserve"> op 1 januari 2019</w:t>
      </w:r>
      <w:r w:rsidRPr="004003A8">
        <w:rPr>
          <w:lang w:val="x-none"/>
        </w:rPr>
        <w:t xml:space="preserve">. Wie niet ingaat op de vrijwillige afbouw, zal </w:t>
      </w:r>
      <w:r>
        <w:t>later</w:t>
      </w:r>
      <w:r w:rsidRPr="004003A8">
        <w:rPr>
          <w:lang w:val="x-none"/>
        </w:rPr>
        <w:t xml:space="preserve"> dus gesanctioneerd worden. De vrijwilligheid van de afbouw is dus wel relatief. </w:t>
      </w:r>
    </w:p>
    <w:p w:rsidR="00FB77C7" w:rsidRDefault="00FB77C7" w:rsidP="00E565E5">
      <w:pPr>
        <w:jc w:val="both"/>
        <w:rPr>
          <w:lang w:val="x-none"/>
        </w:rPr>
      </w:pPr>
    </w:p>
    <w:p w:rsidR="00956A9B" w:rsidRDefault="00956A9B" w:rsidP="00E565E5">
      <w:pPr>
        <w:jc w:val="both"/>
        <w:rPr>
          <w:lang w:val="x-none"/>
        </w:rPr>
      </w:pPr>
      <w:r w:rsidRPr="00956A9B">
        <w:rPr>
          <w:lang w:val="x-none"/>
        </w:rPr>
        <w:lastRenderedPageBreak/>
        <w:t>De controle op de 90%-10%-maatregel zal met steekproeven gebeuren. Het gaat over onregelmatigheden in de berekening. De vraag hoe ver kan Fedasil kan (zal) teruggegaan bij een eventueel probleem in de berekening (één jaar? vijf jaar?) bleef onbeantwoord.</w:t>
      </w:r>
    </w:p>
    <w:p w:rsidR="009213C2" w:rsidRDefault="009213C2" w:rsidP="00E565E5">
      <w:pPr>
        <w:jc w:val="both"/>
      </w:pPr>
    </w:p>
    <w:p w:rsidR="00FB77C7" w:rsidRDefault="00FB77C7" w:rsidP="00E565E5">
      <w:pPr>
        <w:jc w:val="both"/>
      </w:pPr>
      <w:r>
        <w:t xml:space="preserve">Wat de </w:t>
      </w:r>
      <w:r w:rsidRPr="00452C44">
        <w:rPr>
          <w:u w:val="single"/>
        </w:rPr>
        <w:t>investeringen</w:t>
      </w:r>
      <w:r>
        <w:t xml:space="preserve"> betreft, dat kan gaan over:</w:t>
      </w:r>
    </w:p>
    <w:p w:rsidR="00FB77C7" w:rsidRDefault="00FB77C7" w:rsidP="005940E4">
      <w:pPr>
        <w:pStyle w:val="Lijstalinea"/>
        <w:numPr>
          <w:ilvl w:val="0"/>
          <w:numId w:val="8"/>
        </w:numPr>
        <w:jc w:val="both"/>
      </w:pPr>
      <w:r>
        <w:t>installatiekosten (</w:t>
      </w:r>
      <w:r w:rsidRPr="00FB77C7">
        <w:t>opknapbeurt van woning zodat deze terug beschikbaar is voor extra crisisplaatsen. Dit kan gaan van schilderwerken tot de aankoop van huishoudapparaten, en dergelijke meer</w:t>
      </w:r>
      <w:r>
        <w:t>.)</w:t>
      </w:r>
      <w:r w:rsidR="00AC4CE3">
        <w:t xml:space="preserve"> </w:t>
      </w:r>
      <w:r w:rsidR="00AC4CE3">
        <w:sym w:font="Wingdings" w:char="F0E0"/>
      </w:r>
      <w:r w:rsidR="00AC4CE3">
        <w:t xml:space="preserve"> Deze omschrijving roept een aantal vragen op (Wat valt er nu precies onder? Hoe afbakenen t.o.v. een renovatie?) en zal in de praktijk verder verfijnd </w:t>
      </w:r>
      <w:r w:rsidR="009213C2">
        <w:t xml:space="preserve">moeten </w:t>
      </w:r>
      <w:r w:rsidR="00AC4CE3">
        <w:t>worden.</w:t>
      </w:r>
    </w:p>
    <w:p w:rsidR="00FB77C7" w:rsidRDefault="00FB77C7" w:rsidP="005940E4">
      <w:pPr>
        <w:pStyle w:val="Lijstalinea"/>
        <w:numPr>
          <w:ilvl w:val="0"/>
          <w:numId w:val="8"/>
        </w:numPr>
        <w:jc w:val="both"/>
      </w:pPr>
      <w:r>
        <w:t>renovatie van een bestaande LOI-woning</w:t>
      </w:r>
    </w:p>
    <w:p w:rsidR="00FB77C7" w:rsidRPr="00FB77C7" w:rsidRDefault="00FB77C7" w:rsidP="005940E4">
      <w:pPr>
        <w:pStyle w:val="Lijstalinea"/>
        <w:numPr>
          <w:ilvl w:val="0"/>
          <w:numId w:val="8"/>
        </w:numPr>
        <w:jc w:val="both"/>
      </w:pPr>
      <w:r>
        <w:t>aankoop woning (niet meer</w:t>
      </w:r>
      <w:r w:rsidR="00B10B45">
        <w:t xml:space="preserve"> mogelijk</w:t>
      </w:r>
      <w:r>
        <w:t>: aankoop van een voertuig</w:t>
      </w:r>
      <w:r w:rsidR="00B10B45">
        <w:t xml:space="preserve"> – </w:t>
      </w:r>
      <w:r w:rsidR="009605D9">
        <w:t>onduidelijk</w:t>
      </w:r>
      <w:r w:rsidR="00B10B45">
        <w:t xml:space="preserve"> waarom d</w:t>
      </w:r>
      <w:r w:rsidR="009605D9">
        <w:t>ie mogelijkheid</w:t>
      </w:r>
      <w:r w:rsidR="00B10B45">
        <w:t xml:space="preserve"> weggevallen is</w:t>
      </w:r>
      <w:r>
        <w:t>)</w:t>
      </w:r>
      <w:r w:rsidR="0069562E">
        <w:t>.</w:t>
      </w:r>
    </w:p>
    <w:p w:rsidR="009C7265" w:rsidRPr="009C7265" w:rsidRDefault="00956A9B" w:rsidP="00FA1CEA">
      <w:pPr>
        <w:pStyle w:val="Kop1"/>
      </w:pPr>
      <w:r>
        <w:rPr>
          <w:lang w:val="nl-BE"/>
        </w:rPr>
        <w:t>Is een investering</w:t>
      </w:r>
      <w:r w:rsidR="006069CF">
        <w:rPr>
          <w:lang w:val="nl-BE"/>
        </w:rPr>
        <w:t>saanvraag m.b.t.</w:t>
      </w:r>
      <w:r>
        <w:rPr>
          <w:lang w:val="nl-BE"/>
        </w:rPr>
        <w:t xml:space="preserve"> de </w:t>
      </w:r>
      <w:r w:rsidR="006069CF">
        <w:rPr>
          <w:lang w:val="nl-BE"/>
        </w:rPr>
        <w:t>LOI-</w:t>
      </w:r>
      <w:r>
        <w:rPr>
          <w:lang w:val="nl-BE"/>
        </w:rPr>
        <w:t>reserve nog mogelijk?</w:t>
      </w:r>
    </w:p>
    <w:p w:rsidR="003312D8" w:rsidRDefault="00D56B01" w:rsidP="001D0964">
      <w:pPr>
        <w:jc w:val="both"/>
        <w:rPr>
          <w:lang w:val="nl-NL"/>
        </w:rPr>
      </w:pPr>
      <w:r>
        <w:rPr>
          <w:lang w:val="nl-NL"/>
        </w:rPr>
        <w:t xml:space="preserve">Voor de </w:t>
      </w:r>
      <w:r w:rsidRPr="00D56B01">
        <w:rPr>
          <w:lang w:val="nl-NL"/>
        </w:rPr>
        <w:t>gecumuleerde reserves van het boekjaar 2017</w:t>
      </w:r>
      <w:r>
        <w:rPr>
          <w:lang w:val="nl-NL"/>
        </w:rPr>
        <w:t xml:space="preserve"> </w:t>
      </w:r>
      <w:r w:rsidRPr="00D56B01">
        <w:rPr>
          <w:lang w:val="nl-NL"/>
        </w:rPr>
        <w:t>krijgen de OCMW</w:t>
      </w:r>
      <w:r>
        <w:rPr>
          <w:lang w:val="nl-NL"/>
        </w:rPr>
        <w:t>’</w:t>
      </w:r>
      <w:r w:rsidRPr="00D56B01">
        <w:rPr>
          <w:lang w:val="nl-NL"/>
        </w:rPr>
        <w:t>s t</w:t>
      </w:r>
      <w:r>
        <w:rPr>
          <w:lang w:val="nl-NL"/>
        </w:rPr>
        <w:t>ot en met</w:t>
      </w:r>
      <w:r w:rsidRPr="00D56B01">
        <w:rPr>
          <w:lang w:val="nl-NL"/>
        </w:rPr>
        <w:t xml:space="preserve"> </w:t>
      </w:r>
      <w:r w:rsidR="00BD33C5">
        <w:rPr>
          <w:lang w:val="nl-NL"/>
        </w:rPr>
        <w:t>31 augustus</w:t>
      </w:r>
      <w:r>
        <w:rPr>
          <w:lang w:val="nl-NL"/>
        </w:rPr>
        <w:t xml:space="preserve"> </w:t>
      </w:r>
      <w:r w:rsidRPr="00D56B01">
        <w:rPr>
          <w:lang w:val="nl-NL"/>
        </w:rPr>
        <w:t xml:space="preserve">2018 de kans om zich in de </w:t>
      </w:r>
      <w:r>
        <w:rPr>
          <w:lang w:val="nl-NL"/>
        </w:rPr>
        <w:t>75%-25%-</w:t>
      </w:r>
      <w:r w:rsidRPr="00D56B01">
        <w:rPr>
          <w:lang w:val="nl-NL"/>
        </w:rPr>
        <w:t>maatregel in te schrijven.</w:t>
      </w:r>
      <w:r w:rsidR="0069562E">
        <w:rPr>
          <w:lang w:val="nl-NL"/>
        </w:rPr>
        <w:t xml:space="preserve"> </w:t>
      </w:r>
      <w:r w:rsidR="006069CF">
        <w:rPr>
          <w:lang w:val="nl-NL"/>
        </w:rPr>
        <w:t xml:space="preserve">Een investeringsaanvraag kan </w:t>
      </w:r>
      <w:r w:rsidR="0069562E">
        <w:rPr>
          <w:lang w:val="nl-NL"/>
        </w:rPr>
        <w:t xml:space="preserve">echter nog </w:t>
      </w:r>
      <w:r w:rsidR="006069CF">
        <w:rPr>
          <w:lang w:val="nl-NL"/>
        </w:rPr>
        <w:t>gedurende heel 2018 ingediend worden</w:t>
      </w:r>
      <w:r w:rsidR="00AF6D5E">
        <w:rPr>
          <w:lang w:val="nl-NL"/>
        </w:rPr>
        <w:t xml:space="preserve"> (zie ook punt 5)</w:t>
      </w:r>
      <w:r w:rsidR="006069CF">
        <w:rPr>
          <w:lang w:val="nl-NL"/>
        </w:rPr>
        <w:t xml:space="preserve">. </w:t>
      </w:r>
      <w:r w:rsidRPr="00D56B01">
        <w:rPr>
          <w:lang w:val="nl-NL"/>
        </w:rPr>
        <w:t xml:space="preserve">Voor de gecumuleerde reserves van het boekjaar 2018 geldt de </w:t>
      </w:r>
      <w:r w:rsidR="001D0964">
        <w:rPr>
          <w:lang w:val="nl-NL"/>
        </w:rPr>
        <w:t>90%-10%-maatregel</w:t>
      </w:r>
      <w:r w:rsidR="0069562E">
        <w:rPr>
          <w:lang w:val="nl-NL"/>
        </w:rPr>
        <w:t>.</w:t>
      </w:r>
      <w:r w:rsidR="006069CF">
        <w:rPr>
          <w:lang w:val="nl-NL"/>
        </w:rPr>
        <w:t xml:space="preserve"> </w:t>
      </w:r>
      <w:r w:rsidR="0069562E">
        <w:rPr>
          <w:lang w:val="nl-NL"/>
        </w:rPr>
        <w:t>E</w:t>
      </w:r>
      <w:r w:rsidRPr="00D56B01">
        <w:rPr>
          <w:lang w:val="nl-NL"/>
        </w:rPr>
        <w:t xml:space="preserve">en </w:t>
      </w:r>
      <w:r w:rsidR="006069CF">
        <w:rPr>
          <w:lang w:val="nl-NL"/>
        </w:rPr>
        <w:t>investerings</w:t>
      </w:r>
      <w:r w:rsidRPr="00D56B01">
        <w:rPr>
          <w:lang w:val="nl-NL"/>
        </w:rPr>
        <w:t>aanvraag</w:t>
      </w:r>
      <w:r w:rsidR="0069562E" w:rsidRPr="0069562E">
        <w:t xml:space="preserve"> </w:t>
      </w:r>
      <w:r w:rsidR="0069562E" w:rsidRPr="0069562E">
        <w:rPr>
          <w:lang w:val="nl-NL"/>
        </w:rPr>
        <w:t xml:space="preserve">moet voor 31 maart 2019 </w:t>
      </w:r>
      <w:r w:rsidRPr="00D56B01">
        <w:rPr>
          <w:lang w:val="nl-NL"/>
        </w:rPr>
        <w:t>in</w:t>
      </w:r>
      <w:r w:rsidR="006069CF">
        <w:rPr>
          <w:lang w:val="nl-NL"/>
        </w:rPr>
        <w:t>gediend worden</w:t>
      </w:r>
      <w:r w:rsidR="001D0964">
        <w:rPr>
          <w:lang w:val="nl-NL"/>
        </w:rPr>
        <w:t xml:space="preserve">. </w:t>
      </w:r>
      <w:r w:rsidR="0069562E">
        <w:rPr>
          <w:lang w:val="nl-NL"/>
        </w:rPr>
        <w:t>Telkens</w:t>
      </w:r>
      <w:r w:rsidRPr="00D56B01">
        <w:rPr>
          <w:lang w:val="nl-NL"/>
        </w:rPr>
        <w:t xml:space="preserve"> zonder verdere garantie dat </w:t>
      </w:r>
      <w:r w:rsidR="0069562E">
        <w:rPr>
          <w:lang w:val="nl-NL"/>
        </w:rPr>
        <w:t xml:space="preserve">de investeringsaanvraag </w:t>
      </w:r>
      <w:r w:rsidRPr="00D56B01">
        <w:rPr>
          <w:lang w:val="nl-NL"/>
        </w:rPr>
        <w:t xml:space="preserve">goedgekeurd </w:t>
      </w:r>
      <w:r w:rsidR="0069562E">
        <w:rPr>
          <w:lang w:val="nl-NL"/>
        </w:rPr>
        <w:t xml:space="preserve">zal </w:t>
      </w:r>
      <w:r w:rsidRPr="00D56B01">
        <w:rPr>
          <w:lang w:val="nl-NL"/>
        </w:rPr>
        <w:t>worden.</w:t>
      </w:r>
      <w:r w:rsidR="001D0964">
        <w:rPr>
          <w:lang w:val="nl-NL"/>
        </w:rPr>
        <w:t xml:space="preserve"> </w:t>
      </w:r>
    </w:p>
    <w:p w:rsidR="004E284D" w:rsidRDefault="004E284D" w:rsidP="001D0964">
      <w:pPr>
        <w:jc w:val="both"/>
        <w:rPr>
          <w:lang w:val="nl-NL"/>
        </w:rPr>
      </w:pPr>
    </w:p>
    <w:p w:rsidR="006A499E" w:rsidRDefault="006A499E" w:rsidP="001D0964">
      <w:pPr>
        <w:jc w:val="both"/>
        <w:rPr>
          <w:lang w:val="nl-NL"/>
        </w:rPr>
      </w:pPr>
      <w:r>
        <w:rPr>
          <w:lang w:val="nl-NL"/>
        </w:rPr>
        <w:t>We kregen de volgende toelichting van Fedasil:</w:t>
      </w:r>
    </w:p>
    <w:p w:rsidR="00D56B01" w:rsidRPr="001D0964" w:rsidRDefault="0007298E" w:rsidP="001D0964">
      <w:pPr>
        <w:jc w:val="both"/>
        <w:rPr>
          <w:lang w:val="nl-NL"/>
        </w:rPr>
      </w:pPr>
      <w:r>
        <w:rPr>
          <w:lang w:val="nl-NL"/>
        </w:rPr>
        <w:t>“</w:t>
      </w:r>
      <w:r w:rsidR="00D56B01" w:rsidRPr="001D0964">
        <w:rPr>
          <w:lang w:val="nl-NL"/>
        </w:rPr>
        <w:t xml:space="preserve">Voor 2018 (boekhoudjaar 2017) zal </w:t>
      </w:r>
      <w:r w:rsidR="001D0964">
        <w:rPr>
          <w:lang w:val="nl-NL"/>
        </w:rPr>
        <w:t>Fedasil</w:t>
      </w:r>
      <w:r w:rsidR="00D56B01" w:rsidRPr="001D0964">
        <w:rPr>
          <w:lang w:val="nl-NL"/>
        </w:rPr>
        <w:t xml:space="preserve"> </w:t>
      </w:r>
      <w:r w:rsidR="00D56B01" w:rsidRPr="004E284D">
        <w:rPr>
          <w:u w:val="single"/>
          <w:lang w:val="nl-NL"/>
        </w:rPr>
        <w:t>momenteel</w:t>
      </w:r>
      <w:r w:rsidR="00D56B01" w:rsidRPr="004E284D">
        <w:rPr>
          <w:lang w:val="nl-NL"/>
        </w:rPr>
        <w:t xml:space="preserve"> </w:t>
      </w:r>
      <w:r w:rsidR="004E284D">
        <w:rPr>
          <w:lang w:val="nl-NL"/>
        </w:rPr>
        <w:t xml:space="preserve">geen positieve beslissing </w:t>
      </w:r>
      <w:r w:rsidR="00D56B01" w:rsidRPr="001D0964">
        <w:rPr>
          <w:lang w:val="nl-NL"/>
        </w:rPr>
        <w:t xml:space="preserve">geven omwille van de volgende redenen: </w:t>
      </w:r>
    </w:p>
    <w:p w:rsidR="00D56B01" w:rsidRPr="001D0964" w:rsidRDefault="00D56B01" w:rsidP="005940E4">
      <w:pPr>
        <w:pStyle w:val="Lijstalinea"/>
        <w:numPr>
          <w:ilvl w:val="0"/>
          <w:numId w:val="9"/>
        </w:numPr>
        <w:rPr>
          <w:lang w:val="nl-NL"/>
        </w:rPr>
      </w:pPr>
      <w:r w:rsidRPr="001D0964">
        <w:rPr>
          <w:lang w:val="nl-NL"/>
        </w:rPr>
        <w:t>een historisch lage bezettingsgraad van het hele LOI</w:t>
      </w:r>
      <w:r w:rsidR="001D0964">
        <w:rPr>
          <w:lang w:val="nl-NL"/>
        </w:rPr>
        <w:t>-</w:t>
      </w:r>
      <w:r w:rsidRPr="001D0964">
        <w:rPr>
          <w:lang w:val="nl-NL"/>
        </w:rPr>
        <w:t>net</w:t>
      </w:r>
      <w:r w:rsidR="004E284D">
        <w:rPr>
          <w:lang w:val="nl-NL"/>
        </w:rPr>
        <w:t>w</w:t>
      </w:r>
      <w:r w:rsidRPr="001D0964">
        <w:rPr>
          <w:lang w:val="nl-NL"/>
        </w:rPr>
        <w:t>erk</w:t>
      </w:r>
      <w:r w:rsidR="0026637A">
        <w:rPr>
          <w:lang w:val="nl-NL"/>
        </w:rPr>
        <w:t>;</w:t>
      </w:r>
      <w:r w:rsidRPr="001D0964">
        <w:rPr>
          <w:lang w:val="nl-NL"/>
        </w:rPr>
        <w:t xml:space="preserve"> </w:t>
      </w:r>
    </w:p>
    <w:p w:rsidR="00D56B01" w:rsidRPr="001D0964" w:rsidRDefault="00D56B01" w:rsidP="005940E4">
      <w:pPr>
        <w:pStyle w:val="Lijstalinea"/>
        <w:numPr>
          <w:ilvl w:val="0"/>
          <w:numId w:val="9"/>
        </w:numPr>
        <w:jc w:val="both"/>
        <w:rPr>
          <w:lang w:val="nl-NL"/>
        </w:rPr>
      </w:pPr>
      <w:r w:rsidRPr="001D0964">
        <w:rPr>
          <w:lang w:val="nl-NL"/>
        </w:rPr>
        <w:t xml:space="preserve">waardoor in 2018 een grote afbouw bij de LOI zal </w:t>
      </w:r>
      <w:r w:rsidR="004E284D">
        <w:rPr>
          <w:lang w:val="nl-NL"/>
        </w:rPr>
        <w:t xml:space="preserve">gebeuren en het dus onduidelijk is in welk soort gebouwen zinvol geïnvesteerd kan worden </w:t>
      </w:r>
      <w:r w:rsidR="009213C2">
        <w:rPr>
          <w:lang w:val="nl-NL"/>
        </w:rPr>
        <w:t>(zie onder punt 5)</w:t>
      </w:r>
      <w:r w:rsidR="006A499E">
        <w:rPr>
          <w:lang w:val="nl-NL"/>
        </w:rPr>
        <w:t>.</w:t>
      </w:r>
      <w:r w:rsidRPr="001D0964">
        <w:rPr>
          <w:lang w:val="nl-NL"/>
        </w:rPr>
        <w:t xml:space="preserve">; </w:t>
      </w:r>
    </w:p>
    <w:p w:rsidR="00D56B01" w:rsidRPr="001D0964" w:rsidRDefault="00D56B01" w:rsidP="005940E4">
      <w:pPr>
        <w:pStyle w:val="Lijstalinea"/>
        <w:numPr>
          <w:ilvl w:val="0"/>
          <w:numId w:val="9"/>
        </w:numPr>
        <w:rPr>
          <w:lang w:val="nl-NL"/>
        </w:rPr>
      </w:pPr>
      <w:r w:rsidRPr="001D0964">
        <w:rPr>
          <w:lang w:val="nl-NL"/>
        </w:rPr>
        <w:t xml:space="preserve">de door Fedasil </w:t>
      </w:r>
      <w:r w:rsidR="004E284D">
        <w:rPr>
          <w:lang w:val="nl-NL"/>
        </w:rPr>
        <w:t xml:space="preserve">te realiseren </w:t>
      </w:r>
      <w:r w:rsidRPr="001D0964">
        <w:rPr>
          <w:lang w:val="nl-NL"/>
        </w:rPr>
        <w:t>besparing</w:t>
      </w:r>
      <w:r w:rsidR="0026637A">
        <w:rPr>
          <w:lang w:val="nl-NL"/>
        </w:rPr>
        <w:t>.</w:t>
      </w:r>
    </w:p>
    <w:p w:rsidR="00A3289A" w:rsidRDefault="00D56B01" w:rsidP="0026637A">
      <w:pPr>
        <w:pStyle w:val="Lijstalinea"/>
        <w:ind w:left="0"/>
        <w:jc w:val="both"/>
        <w:rPr>
          <w:lang w:val="nl-NL"/>
        </w:rPr>
      </w:pPr>
      <w:r w:rsidRPr="00D56B01">
        <w:rPr>
          <w:lang w:val="nl-NL"/>
        </w:rPr>
        <w:t xml:space="preserve">Voor 2019 (boekhoudjaar 2018) zal het Agentschap </w:t>
      </w:r>
      <w:r w:rsidR="0026637A">
        <w:rPr>
          <w:lang w:val="nl-NL"/>
        </w:rPr>
        <w:t>dit herbekijken. De</w:t>
      </w:r>
      <w:r w:rsidRPr="00D56B01">
        <w:rPr>
          <w:lang w:val="nl-NL"/>
        </w:rPr>
        <w:t xml:space="preserve"> dossiers zullen dan geëvalueerd worden tegenover de bezettingsgraad op dat moment, de status van de afbouw en eventuele verdere besparingsmaatregelen die worden opgelegd.</w:t>
      </w:r>
      <w:r w:rsidR="0007298E">
        <w:rPr>
          <w:lang w:val="nl-NL"/>
        </w:rPr>
        <w:t>”</w:t>
      </w:r>
    </w:p>
    <w:p w:rsidR="009213C2" w:rsidRDefault="009213C2" w:rsidP="0026637A">
      <w:pPr>
        <w:pStyle w:val="Lijstalinea"/>
        <w:ind w:left="0"/>
        <w:jc w:val="both"/>
        <w:rPr>
          <w:lang w:val="nl-NL"/>
        </w:rPr>
      </w:pPr>
    </w:p>
    <w:p w:rsidR="00240924" w:rsidRDefault="006A499E" w:rsidP="00B02DE4">
      <w:pPr>
        <w:jc w:val="both"/>
      </w:pPr>
      <w:r>
        <w:t>Voorlopig</w:t>
      </w:r>
      <w:r w:rsidR="00240924" w:rsidRPr="006A499E">
        <w:t> </w:t>
      </w:r>
      <w:r w:rsidR="00240924">
        <w:t>geeft Fedasil dus</w:t>
      </w:r>
      <w:r>
        <w:t xml:space="preserve"> nog steeds</w:t>
      </w:r>
      <w:r w:rsidR="00240924">
        <w:t xml:space="preserve"> geen akkoord bij een aanvraag om de reserves alsnog te kunnen investeren. Het is </w:t>
      </w:r>
      <w:r w:rsidRPr="0007298E">
        <w:t xml:space="preserve">vandaag </w:t>
      </w:r>
      <w:r w:rsidR="00240924" w:rsidRPr="0007298E">
        <w:t>moeilijk te voorspellen</w:t>
      </w:r>
      <w:r w:rsidR="00240924">
        <w:t xml:space="preserve"> in welke mate Fedasil later wel zal ingaan op ingediende voorstellen aangezien de </w:t>
      </w:r>
      <w:r>
        <w:t xml:space="preserve">vermelde </w:t>
      </w:r>
      <w:r w:rsidR="00240924">
        <w:t>parameters</w:t>
      </w:r>
      <w:r>
        <w:t xml:space="preserve"> </w:t>
      </w:r>
      <w:r w:rsidR="00240924">
        <w:t>momenteel nog onbekenden zijn. Als voldoende besturen intekenen op de 75%-25%-</w:t>
      </w:r>
      <w:r>
        <w:t>maatregel</w:t>
      </w:r>
      <w:r w:rsidR="00240924">
        <w:t xml:space="preserve">, de afbouw van de LOI-plaatsen op schema zit en het aantal asielaanvragen stabiel blijft (of stijgt), dan zal Fedasil misschien </w:t>
      </w:r>
      <w:r>
        <w:t>in de tweede helft van</w:t>
      </w:r>
      <w:r w:rsidR="00240924">
        <w:t xml:space="preserve"> 2018 of voor eind maart 2019 ingaan op een voorstel tot investering. Ook de bij </w:t>
      </w:r>
      <w:r>
        <w:t xml:space="preserve">de </w:t>
      </w:r>
      <w:r w:rsidR="0007298E">
        <w:t>afbouw</w:t>
      </w:r>
      <w:r w:rsidRPr="006A499E">
        <w:t xml:space="preserve"> van de LOI</w:t>
      </w:r>
      <w:r>
        <w:t xml:space="preserve">-plaatsen </w:t>
      </w:r>
      <w:r w:rsidR="00240924">
        <w:t xml:space="preserve">genomen beslissingen m.b.t. de toekomstige rol van de LOI en dus de nood aan LOI-woningen (zowel qua aantal als qua type) </w:t>
      </w:r>
      <w:r w:rsidR="0007298E">
        <w:lastRenderedPageBreak/>
        <w:t>spele</w:t>
      </w:r>
      <w:r w:rsidR="00240924">
        <w:t>n een rol bij de beslissingen van Fedasil</w:t>
      </w:r>
      <w:r>
        <w:t xml:space="preserve"> m.b.t. investeringsaanvragen</w:t>
      </w:r>
      <w:r w:rsidR="00240924">
        <w:t>. </w:t>
      </w:r>
      <w:r w:rsidR="0007298E">
        <w:t xml:space="preserve">Fedasil bekijkt momenteel een aantal reeds ingediende dossiers in functie van de afbouw en het door Fedasil nagestreefde toekomstige opvangnetwerk. </w:t>
      </w:r>
      <w:r>
        <w:t>Ze</w:t>
      </w:r>
      <w:r w:rsidR="00240924">
        <w:t xml:space="preserve">kerheid is er </w:t>
      </w:r>
      <w:r>
        <w:t xml:space="preserve">voorlopig dus </w:t>
      </w:r>
      <w:r w:rsidR="00240924">
        <w:t>niet en n</w:t>
      </w:r>
      <w:r>
        <w:t xml:space="preserve">a </w:t>
      </w:r>
      <w:r w:rsidR="00AF6D5E">
        <w:t>31 augustus</w:t>
      </w:r>
      <w:r>
        <w:t xml:space="preserve"> 2018</w:t>
      </w:r>
      <w:r w:rsidR="00240924">
        <w:t xml:space="preserve"> kan er niet meer ingetekend worden op de 75%-25%-</w:t>
      </w:r>
      <w:r>
        <w:t>maatregel</w:t>
      </w:r>
      <w:r w:rsidR="00240924">
        <w:t xml:space="preserve">. </w:t>
      </w:r>
      <w:r w:rsidR="006069CF">
        <w:t>Niet intekene</w:t>
      </w:r>
      <w:r w:rsidR="00240924">
        <w:t>n houdt dus een risico in. </w:t>
      </w:r>
    </w:p>
    <w:p w:rsidR="006A499E" w:rsidRDefault="006A499E" w:rsidP="00B02DE4">
      <w:pPr>
        <w:jc w:val="both"/>
      </w:pPr>
    </w:p>
    <w:p w:rsidR="006A499E" w:rsidRPr="00240924" w:rsidRDefault="006A499E" w:rsidP="00B02DE4">
      <w:pPr>
        <w:jc w:val="both"/>
      </w:pPr>
      <w:r>
        <w:t xml:space="preserve">We wijzen er wel op dat het belangrijk is om de </w:t>
      </w:r>
      <w:r w:rsidRPr="006A499E">
        <w:rPr>
          <w:b/>
        </w:rPr>
        <w:t>berekening van de 75%-25%-maatregel correct te maken</w:t>
      </w:r>
      <w:r>
        <w:t xml:space="preserve"> (zie onder punt 2). In een aantal gevallen blijkt er toch een niet onbelangrijk deel van de LOI-reserve aftrekbaar te zijn v</w:t>
      </w:r>
      <w:r w:rsidR="001D77A3">
        <w:t>oo</w:t>
      </w:r>
      <w:r>
        <w:t xml:space="preserve">r de toepassing van de </w:t>
      </w:r>
      <w:r w:rsidRPr="006A499E">
        <w:t>75%-25%-maatregel</w:t>
      </w:r>
      <w:r>
        <w:t>.</w:t>
      </w:r>
    </w:p>
    <w:p w:rsidR="00052F2D" w:rsidRDefault="00052F2D">
      <w:pPr>
        <w:spacing w:line="240" w:lineRule="auto"/>
        <w:contextualSpacing w:val="0"/>
        <w:rPr>
          <w:b/>
          <w:bCs/>
          <w:sz w:val="26"/>
          <w:szCs w:val="28"/>
          <w:lang w:val="x-none"/>
        </w:rPr>
      </w:pPr>
    </w:p>
    <w:p w:rsidR="0045245D" w:rsidRDefault="0045245D" w:rsidP="00F201AD">
      <w:pPr>
        <w:pStyle w:val="Kop1"/>
        <w:jc w:val="both"/>
        <w:rPr>
          <w:lang w:val="nl-BE"/>
        </w:rPr>
      </w:pPr>
      <w:r>
        <w:rPr>
          <w:lang w:val="nl-BE"/>
        </w:rPr>
        <w:t>De afbouw van de LOI-plaatsen en de link met de LOI-reserves</w:t>
      </w:r>
    </w:p>
    <w:p w:rsidR="0045245D" w:rsidRDefault="0045245D" w:rsidP="0045245D">
      <w:r>
        <w:t>De regering heeft beslist dat het opvangnetwerk tegen eind 2018 moet afbouwen van ongeveer 23.000 opvangplaatsen naar 16.600 opvangplaatsen.</w:t>
      </w:r>
    </w:p>
    <w:p w:rsidR="0045245D" w:rsidRDefault="0045245D" w:rsidP="0045245D"/>
    <w:p w:rsidR="0045245D" w:rsidRDefault="0045245D" w:rsidP="0045245D">
      <w:r>
        <w:t xml:space="preserve">Concreet worden gesloten </w:t>
      </w:r>
      <w:r w:rsidRPr="00AF6D5E">
        <w:rPr>
          <w:u w:val="single"/>
        </w:rPr>
        <w:t>in 2018</w:t>
      </w:r>
      <w:r>
        <w:t>:</w:t>
      </w:r>
    </w:p>
    <w:p w:rsidR="0045245D" w:rsidRDefault="0045245D" w:rsidP="005940E4">
      <w:pPr>
        <w:pStyle w:val="Lijstalinea"/>
        <w:numPr>
          <w:ilvl w:val="0"/>
          <w:numId w:val="11"/>
        </w:numPr>
      </w:pPr>
      <w:r>
        <w:t>2.845 collectieve opvangplaatsen in de tijdelijke opvangcentra</w:t>
      </w:r>
    </w:p>
    <w:p w:rsidR="0045245D" w:rsidRDefault="0007298E" w:rsidP="005940E4">
      <w:pPr>
        <w:pStyle w:val="Lijstalinea"/>
        <w:numPr>
          <w:ilvl w:val="0"/>
          <w:numId w:val="11"/>
        </w:numPr>
      </w:pPr>
      <w:r>
        <w:t>4.000 LOI-plaatsen</w:t>
      </w:r>
      <w:r w:rsidR="0045245D">
        <w:t>.</w:t>
      </w:r>
    </w:p>
    <w:p w:rsidR="004006DA" w:rsidRDefault="004006DA" w:rsidP="0045245D">
      <w:pPr>
        <w:jc w:val="both"/>
      </w:pPr>
    </w:p>
    <w:p w:rsidR="0045245D" w:rsidRDefault="0045245D" w:rsidP="0045245D">
      <w:pPr>
        <w:jc w:val="both"/>
      </w:pPr>
      <w:r w:rsidRPr="0045245D">
        <w:t xml:space="preserve">De afbouw zal in een eerste fase op vrijwillige basis gebeuren. Dan wordt de sluitingsdatum in onderling overleg bepaald. Indien er onvoldoende vrijwillige sluitingen zijn, zal er in een tweede fase gedwongen afgebouwd worden aan de hand van een aantal criteria. </w:t>
      </w:r>
    </w:p>
    <w:p w:rsidR="005940E4" w:rsidRPr="0045245D" w:rsidRDefault="005940E4" w:rsidP="0045245D">
      <w:pPr>
        <w:jc w:val="both"/>
      </w:pPr>
    </w:p>
    <w:p w:rsidR="0045245D" w:rsidRPr="0045245D" w:rsidRDefault="0045245D" w:rsidP="0045245D">
      <w:pPr>
        <w:jc w:val="both"/>
      </w:pPr>
      <w:r w:rsidRPr="0045245D">
        <w:t xml:space="preserve">De </w:t>
      </w:r>
      <w:r w:rsidRPr="0045245D">
        <w:rPr>
          <w:u w:val="single"/>
        </w:rPr>
        <w:t>criteria</w:t>
      </w:r>
      <w:r w:rsidRPr="0045245D">
        <w:t xml:space="preserve"> bij de gedwongen sluitingen:</w:t>
      </w:r>
    </w:p>
    <w:p w:rsidR="0045245D" w:rsidRPr="0045245D" w:rsidRDefault="0045245D" w:rsidP="0007298E">
      <w:pPr>
        <w:numPr>
          <w:ilvl w:val="0"/>
          <w:numId w:val="12"/>
        </w:numPr>
        <w:jc w:val="both"/>
      </w:pPr>
      <w:r w:rsidRPr="0045245D">
        <w:t xml:space="preserve">Spreiding van LOI-plaatsen verzekeren. </w:t>
      </w:r>
    </w:p>
    <w:p w:rsidR="0045245D" w:rsidRPr="0045245D" w:rsidRDefault="0045245D" w:rsidP="005940E4">
      <w:pPr>
        <w:numPr>
          <w:ilvl w:val="0"/>
          <w:numId w:val="12"/>
        </w:numPr>
        <w:jc w:val="both"/>
      </w:pPr>
      <w:r w:rsidRPr="0045245D">
        <w:t>Bereidheid van het LOI om in te tekenen op een of meer van de volgende pistes:</w:t>
      </w:r>
    </w:p>
    <w:p w:rsidR="0045245D" w:rsidRPr="0045245D" w:rsidRDefault="0045245D" w:rsidP="005940E4">
      <w:pPr>
        <w:numPr>
          <w:ilvl w:val="1"/>
          <w:numId w:val="12"/>
        </w:numPr>
        <w:jc w:val="both"/>
      </w:pPr>
      <w:r w:rsidRPr="0045245D">
        <w:t>Flexibiliteit in de configuratie van de plaatsen</w:t>
      </w:r>
    </w:p>
    <w:p w:rsidR="00AF6D5E" w:rsidRDefault="0045245D" w:rsidP="005940E4">
      <w:pPr>
        <w:numPr>
          <w:ilvl w:val="1"/>
          <w:numId w:val="12"/>
        </w:numPr>
        <w:jc w:val="both"/>
      </w:pPr>
      <w:r w:rsidRPr="0045245D">
        <w:t>Aanpassingen doen om bewoners met specifieke noden op te vangen</w:t>
      </w:r>
    </w:p>
    <w:p w:rsidR="0045245D" w:rsidRPr="0045245D" w:rsidRDefault="00AF6D5E" w:rsidP="00AF6D5E">
      <w:pPr>
        <w:pStyle w:val="Lijstalinea"/>
        <w:numPr>
          <w:ilvl w:val="1"/>
          <w:numId w:val="12"/>
        </w:numPr>
      </w:pPr>
      <w:r w:rsidRPr="00AF6D5E">
        <w:t>Voortrekkersrol bij de integratie van erkend vluchtel</w:t>
      </w:r>
      <w:r>
        <w:t>ingen en subsidiair beschermden</w:t>
      </w:r>
      <w:r w:rsidR="0045245D" w:rsidRPr="0045245D">
        <w:t>.</w:t>
      </w:r>
    </w:p>
    <w:p w:rsidR="004006DA" w:rsidRDefault="004006DA" w:rsidP="004006DA"/>
    <w:p w:rsidR="004006DA" w:rsidRPr="004006DA" w:rsidRDefault="004006DA" w:rsidP="004006DA">
      <w:r w:rsidRPr="004006DA">
        <w:t xml:space="preserve">Meer informatie in de </w:t>
      </w:r>
      <w:hyperlink r:id="rId9" w:history="1">
        <w:r w:rsidRPr="00A65C62">
          <w:rPr>
            <w:rStyle w:val="Hyperlink"/>
          </w:rPr>
          <w:t>Informatieve Nota m.b.t. de afbouw van de LOI-plaatsen</w:t>
        </w:r>
      </w:hyperlink>
      <w:bookmarkStart w:id="0" w:name="_GoBack"/>
      <w:bookmarkEnd w:id="0"/>
      <w:r w:rsidRPr="004006DA">
        <w:t>. (indien link niet werkt te vinden op www.vvsg.be onder sociaalbeleid en werk &lt; vreemdelingen &lt; materiële opvang).</w:t>
      </w:r>
    </w:p>
    <w:p w:rsidR="0045245D" w:rsidRPr="0045245D" w:rsidRDefault="0045245D" w:rsidP="0045245D"/>
    <w:p w:rsidR="00AF6D5E" w:rsidRDefault="0007298E" w:rsidP="00AF6D5E">
      <w:pPr>
        <w:jc w:val="both"/>
      </w:pPr>
      <w:r>
        <w:t>De beslissingen i.v.m. de afbouw werden eind juni verstuurd. D</w:t>
      </w:r>
      <w:r w:rsidR="00AF6D5E">
        <w:t xml:space="preserve">e deadline </w:t>
      </w:r>
      <w:r>
        <w:t xml:space="preserve">i.v.m. het intekenen op de 75%-25%-maatregel werd </w:t>
      </w:r>
      <w:r w:rsidR="00AF6D5E">
        <w:t xml:space="preserve">uitgesteld tot 31 augustus 2018. </w:t>
      </w:r>
    </w:p>
    <w:p w:rsidR="00AF6D5E" w:rsidRDefault="00AF6D5E" w:rsidP="00AF6D5E">
      <w:pPr>
        <w:jc w:val="both"/>
      </w:pPr>
    </w:p>
    <w:p w:rsidR="00AF6D5E" w:rsidRDefault="00AF6D5E" w:rsidP="00AF6D5E">
      <w:pPr>
        <w:jc w:val="both"/>
      </w:pPr>
      <w:r>
        <w:t xml:space="preserve">OCMW’s die geen lopend project hebben voor de besteding van hun LOI-reserve (zie ook punt 6) maar die wel plannen hadden om met de LOI-reserve een LOI-woning te renoveren, kunnen een voorstel doen om bij die renovatie rekening te houden met de criteria van de afbouw. </w:t>
      </w:r>
      <w:r>
        <w:lastRenderedPageBreak/>
        <w:t xml:space="preserve">Bijvoorbeeld de LOI-woning geschikt maken voor rolstoelgebruikers of zowel voor gezinnen als voor alleenstaanden. Fedasil zal uiteindelijk beslissen welke voorstellen weerhouden worden in functie van het toekomstige netwerk. Dat kan een mogelijkheid zijn om de LOI-reserve alsnog te gebruiken voor een investering in het LOI. </w:t>
      </w:r>
    </w:p>
    <w:p w:rsidR="001E2B60" w:rsidRDefault="000507AE" w:rsidP="00F201AD">
      <w:pPr>
        <w:pStyle w:val="Kop1"/>
        <w:jc w:val="both"/>
      </w:pPr>
      <w:r>
        <w:t xml:space="preserve">Wat met </w:t>
      </w:r>
      <w:bookmarkStart w:id="1" w:name="_Hlk511118201"/>
      <w:r w:rsidR="00273259">
        <w:t>de</w:t>
      </w:r>
      <w:r w:rsidR="004A6AD4">
        <w:t xml:space="preserve"> </w:t>
      </w:r>
      <w:r>
        <w:t>lopende</w:t>
      </w:r>
      <w:r w:rsidR="00273259" w:rsidRPr="00273259">
        <w:t xml:space="preserve"> </w:t>
      </w:r>
      <w:r w:rsidR="00CE41D4">
        <w:rPr>
          <w:lang w:val="nl-BE"/>
        </w:rPr>
        <w:t>dossiers en</w:t>
      </w:r>
      <w:r w:rsidR="00273259">
        <w:rPr>
          <w:lang w:val="nl-BE"/>
        </w:rPr>
        <w:t xml:space="preserve"> </w:t>
      </w:r>
      <w:r w:rsidR="00F201AD">
        <w:rPr>
          <w:lang w:val="nl-BE"/>
        </w:rPr>
        <w:t xml:space="preserve">de </w:t>
      </w:r>
      <w:r w:rsidR="00273259" w:rsidRPr="00273259">
        <w:rPr>
          <w:lang w:val="nl-BE"/>
        </w:rPr>
        <w:t>reeds ingediende</w:t>
      </w:r>
      <w:r>
        <w:t xml:space="preserve"> </w:t>
      </w:r>
      <w:r w:rsidR="00B02DE4">
        <w:t>investerings</w:t>
      </w:r>
      <w:r w:rsidR="00956A9B">
        <w:t xml:space="preserve">aanvragen </w:t>
      </w:r>
      <w:r w:rsidR="00B02DE4">
        <w:t>m.b.t. de LOI-reserve</w:t>
      </w:r>
      <w:bookmarkEnd w:id="1"/>
      <w:r>
        <w:t>?</w:t>
      </w:r>
    </w:p>
    <w:p w:rsidR="008F417F" w:rsidRDefault="008F417F" w:rsidP="00507022">
      <w:pPr>
        <w:jc w:val="both"/>
        <w:rPr>
          <w:lang w:val="x-none"/>
        </w:rPr>
      </w:pPr>
    </w:p>
    <w:p w:rsidR="00CE41D4" w:rsidRDefault="00CE41D4" w:rsidP="00CE41D4">
      <w:pPr>
        <w:jc w:val="both"/>
      </w:pPr>
      <w:r w:rsidRPr="00CE41D4">
        <w:t xml:space="preserve">De VVSG kan zich vinden </w:t>
      </w:r>
      <w:r>
        <w:t xml:space="preserve">in </w:t>
      </w:r>
      <w:r w:rsidRPr="00CE41D4">
        <w:t>de afbouw van de bestaande en het voorkomen van de toekomstige LOI-reserves. Niemand is gebaat bij in de LOI-boekhouding geblokkeerde LOI-reserves. Sinds de omzendbrief m.b.t. het LOI-beheer bepaalt dat Fedasil een voorafgaand akkoord moet geven bij een investering van de LOI-reserve, staan die reserves immers de facto geblokkeerd in de LOI-boekhouding als er geen project is dat voldoet aan de in die omzendbrief bepaalde voorwaarden</w:t>
      </w:r>
      <w:r w:rsidR="005940E4">
        <w:t xml:space="preserve"> en waar Fedasil de vereiste voorafgaandelijke goedkeuring voor wil geven</w:t>
      </w:r>
      <w:r w:rsidRPr="00CE41D4">
        <w:t>. Immers, ook al kunnen er vragen gesteld worden bij de juridische afdwingbaarheid van die omzendbrief (zie verder), in de praktijk wordt de omzendbrief grotendeels toegepast.</w:t>
      </w:r>
      <w:r>
        <w:t xml:space="preserve"> Met de </w:t>
      </w:r>
      <w:r w:rsidRPr="00CE41D4">
        <w:t xml:space="preserve">75%-25%-maatregel kan er toch 25% (na aftrek van een aantal kosten – zie </w:t>
      </w:r>
      <w:r>
        <w:t xml:space="preserve">onder </w:t>
      </w:r>
      <w:r w:rsidRPr="00CE41D4">
        <w:t xml:space="preserve">punt 2) van de </w:t>
      </w:r>
      <w:r>
        <w:t>LOI-</w:t>
      </w:r>
      <w:r w:rsidRPr="00CE41D4">
        <w:t>reserve vrij besteed worden.</w:t>
      </w:r>
      <w:r>
        <w:t xml:space="preserve"> </w:t>
      </w:r>
      <w:r w:rsidRPr="00CE41D4">
        <w:t>Ook het voorkomen van toekomstige reserves is verdedigbaar</w:t>
      </w:r>
      <w:r>
        <w:t xml:space="preserve"> rekening houdend met de actuele budgettaire situatie</w:t>
      </w:r>
      <w:r w:rsidRPr="00CE41D4">
        <w:t xml:space="preserve">. </w:t>
      </w:r>
    </w:p>
    <w:p w:rsidR="00CE41D4" w:rsidRDefault="00CE41D4" w:rsidP="00CE41D4">
      <w:pPr>
        <w:jc w:val="both"/>
      </w:pPr>
    </w:p>
    <w:p w:rsidR="009E0D95" w:rsidRDefault="00CE41D4" w:rsidP="00CE41D4">
      <w:pPr>
        <w:jc w:val="both"/>
      </w:pPr>
      <w:r>
        <w:t xml:space="preserve">Het punt van discussie zijn de lopende dossiers en reeds ingediende investeringsaanvragen. </w:t>
      </w:r>
      <w:bookmarkStart w:id="2" w:name="_Hlk511123354"/>
      <w:r w:rsidRPr="00CE41D4">
        <w:t xml:space="preserve">De VVSG vindt dat er rekening moet worden gehouden met de </w:t>
      </w:r>
      <w:r>
        <w:t>lopende</w:t>
      </w:r>
      <w:r w:rsidR="000738EA">
        <w:t xml:space="preserve"> dossiers</w:t>
      </w:r>
      <w:r>
        <w:t xml:space="preserve"> </w:t>
      </w:r>
      <w:r w:rsidR="000738EA">
        <w:t>en de</w:t>
      </w:r>
      <w:r>
        <w:t xml:space="preserve"> reeds ingediende investeringsaanvragen. </w:t>
      </w:r>
    </w:p>
    <w:p w:rsidR="002551A6" w:rsidRDefault="002551A6" w:rsidP="00CE41D4">
      <w:pPr>
        <w:jc w:val="both"/>
      </w:pPr>
    </w:p>
    <w:p w:rsidR="002551A6" w:rsidRDefault="000738EA" w:rsidP="0088327D">
      <w:pPr>
        <w:jc w:val="both"/>
      </w:pPr>
      <w:r>
        <w:t xml:space="preserve">De </w:t>
      </w:r>
      <w:r w:rsidRPr="000738EA">
        <w:rPr>
          <w:u w:val="single"/>
        </w:rPr>
        <w:t>lopende dossiers</w:t>
      </w:r>
      <w:r>
        <w:t xml:space="preserve"> zijn de i</w:t>
      </w:r>
      <w:r w:rsidR="00CE41D4">
        <w:t xml:space="preserve">nvesteringen die al voor de omzendbrief van 30 juni 2017 </w:t>
      </w:r>
      <w:r w:rsidR="009E0D95" w:rsidRPr="009E0D95">
        <w:t>m.b.t. het beheer van de LOI</w:t>
      </w:r>
      <w:r w:rsidRPr="000738EA">
        <w:t xml:space="preserve"> </w:t>
      </w:r>
      <w:r w:rsidR="00CE41D4">
        <w:t>werden opgestar</w:t>
      </w:r>
      <w:r>
        <w:t>t</w:t>
      </w:r>
      <w:r w:rsidR="009E0D95" w:rsidRPr="009E0D95">
        <w:t xml:space="preserve"> </w:t>
      </w:r>
      <w:r w:rsidR="009E0D95">
        <w:t xml:space="preserve">en </w:t>
      </w:r>
      <w:r w:rsidR="009E0D95" w:rsidRPr="009E0D95">
        <w:t>waarbij het OCMW kan aantonen dat de investering past in het kader van de opvang van asielzoekers.</w:t>
      </w:r>
      <w:r w:rsidR="009E0D95">
        <w:t xml:space="preserve"> Aangezien die omzendbrief </w:t>
      </w:r>
      <w:r w:rsidR="009E0D95" w:rsidRPr="009E0D95">
        <w:t>de voorwaarde van de voorafgaandelijke toestemming heeft ingevoerd,</w:t>
      </w:r>
      <w:r w:rsidR="009E0D95">
        <w:t xml:space="preserve"> kon er voorafgaand aan die omzendbrief een investering gebeuren door een beslissing van het OCMW</w:t>
      </w:r>
      <w:r w:rsidR="002551A6" w:rsidRPr="002551A6">
        <w:t xml:space="preserve"> zonder tussenkomst van Fedasil</w:t>
      </w:r>
      <w:r w:rsidR="009E0D95">
        <w:t xml:space="preserve">. </w:t>
      </w:r>
      <w:r w:rsidR="002551A6">
        <w:t>D</w:t>
      </w:r>
      <w:r w:rsidR="009E0D95">
        <w:t xml:space="preserve">eze dossiers </w:t>
      </w:r>
      <w:r w:rsidR="0088327D">
        <w:t>kunnen volgens de VVSG dan ook</w:t>
      </w:r>
      <w:r w:rsidR="00FD71F1" w:rsidRPr="00FD71F1">
        <w:t xml:space="preserve"> </w:t>
      </w:r>
      <w:r w:rsidR="0088327D">
        <w:t xml:space="preserve">zonder meer </w:t>
      </w:r>
      <w:r w:rsidR="00FD71F1" w:rsidRPr="00FD71F1">
        <w:t xml:space="preserve">verder uitgevoerd </w:t>
      </w:r>
      <w:r w:rsidR="002551A6">
        <w:t>worden</w:t>
      </w:r>
      <w:r w:rsidR="009E0D95">
        <w:t xml:space="preserve">. </w:t>
      </w:r>
      <w:r w:rsidR="0088327D">
        <w:t xml:space="preserve">Maar niet alle OCMW’s die hun dossier alsnog voorleggen aan Fedasil ter goedkeuring of ter bevestiging zodat ze zekerheid hebben, krijgen een bevestigend antwoord. </w:t>
      </w:r>
      <w:r w:rsidR="0088327D" w:rsidRPr="0088327D">
        <w:t>Voor deze dossiers vraagt de VVSG dat er rechtszekerheid gegeven wordt door staatsecretaris Francken en Fedasil.</w:t>
      </w:r>
    </w:p>
    <w:p w:rsidR="0088327D" w:rsidRPr="0088327D" w:rsidRDefault="0088327D" w:rsidP="0088327D">
      <w:pPr>
        <w:jc w:val="both"/>
      </w:pPr>
    </w:p>
    <w:p w:rsidR="00CE41D4" w:rsidRDefault="009E0D95" w:rsidP="00507022">
      <w:pPr>
        <w:jc w:val="both"/>
      </w:pPr>
      <w:r>
        <w:t xml:space="preserve">De </w:t>
      </w:r>
      <w:r w:rsidRPr="009E0D95">
        <w:rPr>
          <w:u w:val="single"/>
        </w:rPr>
        <w:t>reeds ingediende investeringsaanvragen</w:t>
      </w:r>
      <w:r>
        <w:t xml:space="preserve"> zijn de aanvragen die na de </w:t>
      </w:r>
      <w:r w:rsidRPr="009E0D95">
        <w:t>omzendbrief van 30 juni 2017 m.b.t. het beheer van de LOI werden</w:t>
      </w:r>
      <w:r>
        <w:t xml:space="preserve"> ingediend en waarbij er tot op vandaag geen antwoord </w:t>
      </w:r>
      <w:r w:rsidR="002551A6" w:rsidRPr="002551A6">
        <w:t xml:space="preserve">(of het negatieve standaardantwoord) </w:t>
      </w:r>
      <w:r>
        <w:t xml:space="preserve">door Fedasil gegeven werd omwille van het moratorium en waarbij er een aantoonbaar (bindend) initiatief van het OCMW was voor de oproep/instructie van 21 februari 2018 m.b.t. de LOI-reserves. </w:t>
      </w:r>
      <w:r w:rsidR="00C34954">
        <w:t xml:space="preserve">In deze groep zitten heel uiteenlopende dossiers. Bijgevolg is het onmogelijk om voor alle dossiers eenzelfde beslissing </w:t>
      </w:r>
      <w:r w:rsidR="00C34954">
        <w:lastRenderedPageBreak/>
        <w:t>te bepleiten</w:t>
      </w:r>
      <w:r w:rsidR="00FD71F1">
        <w:t xml:space="preserve">. </w:t>
      </w:r>
      <w:r w:rsidRPr="009E0D95">
        <w:t xml:space="preserve">De huidige regelgeving opgenomen in de omzendbrief van 30 juni 2017 en de recente oproep/instructie van Fedasil van 21 februari 2018 sluiten niet uit dat er </w:t>
      </w:r>
      <w:r>
        <w:t xml:space="preserve">alsnog </w:t>
      </w:r>
      <w:r w:rsidRPr="009E0D95">
        <w:t>een voorafgaandelijk akkoord gegeven wordt</w:t>
      </w:r>
      <w:r>
        <w:t>.</w:t>
      </w:r>
      <w:r w:rsidR="001700E5" w:rsidRPr="001700E5">
        <w:t xml:space="preserve"> Het is </w:t>
      </w:r>
      <w:r w:rsidR="001700E5">
        <w:t>verder ook</w:t>
      </w:r>
      <w:r w:rsidR="001700E5" w:rsidRPr="001700E5">
        <w:t xml:space="preserve"> niet de verantwoordelijkheid van de OCMW's dat Fedasil gedurende maanden geen voorafgaand akkoord voor de geplande aankoop kon geven</w:t>
      </w:r>
      <w:r w:rsidR="00FD71F1" w:rsidRPr="00FD71F1">
        <w:t xml:space="preserve">. Voor deze dossiers </w:t>
      </w:r>
      <w:r w:rsidR="002551A6">
        <w:t>zou</w:t>
      </w:r>
      <w:r w:rsidR="00FD71F1" w:rsidRPr="00FD71F1">
        <w:t xml:space="preserve"> er per dossier een gemotiveerde beslissing (geen standaardantwoord) genomen </w:t>
      </w:r>
      <w:r w:rsidR="002551A6">
        <w:t>moeten worden</w:t>
      </w:r>
      <w:r w:rsidR="00FD71F1" w:rsidRPr="00FD71F1">
        <w:t xml:space="preserve"> rekening houdend met de inhoud van de aanvraag alsook met de wachttijd en de eventuele communicatie die er is geweest met de regiomedewerkers van Fedasil. Die beslissing moet binnen een redelijke termijn genomen worden.</w:t>
      </w:r>
    </w:p>
    <w:p w:rsidR="008F644E" w:rsidRDefault="008F644E" w:rsidP="00507022">
      <w:pPr>
        <w:jc w:val="both"/>
        <w:rPr>
          <w:lang w:val="x-none"/>
        </w:rPr>
      </w:pPr>
    </w:p>
    <w:p w:rsidR="00714E7A" w:rsidRDefault="00C34954" w:rsidP="00C34954">
      <w:pPr>
        <w:jc w:val="both"/>
        <w:rPr>
          <w:color w:val="003366"/>
        </w:rPr>
      </w:pPr>
      <w:r>
        <w:t xml:space="preserve">Met betrekking tot de </w:t>
      </w:r>
      <w:r w:rsidR="00714E7A">
        <w:t>lopend</w:t>
      </w:r>
      <w:r>
        <w:t>e</w:t>
      </w:r>
      <w:r w:rsidR="00714E7A">
        <w:t xml:space="preserve"> dossier</w:t>
      </w:r>
      <w:r>
        <w:t>s horen we van een aantal OCMW’s dat zij</w:t>
      </w:r>
      <w:r w:rsidR="00714E7A">
        <w:t xml:space="preserve"> van Fedasil </w:t>
      </w:r>
      <w:r>
        <w:t xml:space="preserve">een ‘akkoord’ </w:t>
      </w:r>
      <w:r w:rsidR="00714E7A">
        <w:t>gekregen he</w:t>
      </w:r>
      <w:r>
        <w:t xml:space="preserve">bben zodat ze nu toch rechtszekerheid hebben. In die gevallen waren de werken of de aankoopdossiers al gestart of bindend geworden. Er was m.a.w. meer dan alleen een Raadsbeslissing. Met betrekking tot de reeds ingediende investeringsaanvragen krijgen we diverse signalen uit de praktijk. Ook hier geeft Fedasil af en toe een ‘akkoord’. In die dossiers waren er </w:t>
      </w:r>
      <w:r w:rsidR="00714E7A">
        <w:t>vaak al onomkeerbare stappen gezet</w:t>
      </w:r>
      <w:r>
        <w:t xml:space="preserve"> of was er door </w:t>
      </w:r>
      <w:r w:rsidR="000A255D">
        <w:t xml:space="preserve">de regiomedewerkers van </w:t>
      </w:r>
      <w:r>
        <w:t>Fedasil al een soort van toestemming gecommuniceerd.</w:t>
      </w:r>
    </w:p>
    <w:bookmarkEnd w:id="2"/>
    <w:p w:rsidR="00714E7A" w:rsidRDefault="00714E7A" w:rsidP="00714E7A">
      <w:pPr>
        <w:rPr>
          <w:color w:val="003366"/>
        </w:rPr>
      </w:pPr>
      <w:r>
        <w:rPr>
          <w:color w:val="1F4E79"/>
        </w:rPr>
        <w:t> </w:t>
      </w:r>
    </w:p>
    <w:p w:rsidR="00240924" w:rsidRDefault="00240924" w:rsidP="000A255D">
      <w:pPr>
        <w:jc w:val="both"/>
        <w:rPr>
          <w:color w:val="000000"/>
        </w:rPr>
      </w:pPr>
      <w:r>
        <w:t xml:space="preserve">Wat er precies zal gebeuren als een OCMW niet intekent op de 75%-25%-maatregel en nadien de 90% niet vrijwillig betaalt, weten we nog niet. Er zijn nog heel wat vragen. Zal Fedasil terugvorderen, zelfs in rechte, als het OCMW niet vrijwillig betaalt? We wachten </w:t>
      </w:r>
      <w:r w:rsidR="008C28E4">
        <w:t xml:space="preserve">ook nog </w:t>
      </w:r>
      <w:r>
        <w:t xml:space="preserve">op de tekst van het aangepaste KB dat de LOI-subsidie </w:t>
      </w:r>
      <w:r w:rsidR="008C28E4">
        <w:t>voor de toekomst zal regelen</w:t>
      </w:r>
      <w:r>
        <w:t xml:space="preserve">. </w:t>
      </w:r>
    </w:p>
    <w:p w:rsidR="00240924" w:rsidRDefault="00240924" w:rsidP="004A6AD4">
      <w:pPr>
        <w:rPr>
          <w:lang w:val="nl-NL"/>
        </w:rPr>
      </w:pPr>
    </w:p>
    <w:p w:rsidR="00786EEC" w:rsidRDefault="0040256E" w:rsidP="00DE03D2">
      <w:pPr>
        <w:jc w:val="both"/>
        <w:rPr>
          <w:lang w:val="nl-NL"/>
        </w:rPr>
      </w:pPr>
      <w:r w:rsidRPr="0040256E">
        <w:rPr>
          <w:lang w:val="nl-NL"/>
        </w:rPr>
        <w:t xml:space="preserve">De toepassing van de 90%-10%-maatregel op de volledige bestaande reserve doet de vraag rijzen </w:t>
      </w:r>
      <w:r w:rsidRPr="00FD71F1">
        <w:rPr>
          <w:b/>
          <w:lang w:val="nl-NL"/>
        </w:rPr>
        <w:t xml:space="preserve">in hoeverre de overheid kan terugkeren in de tijd en LOI-reserves kan terugeisen die opgebouwd werden voor het invoeren van </w:t>
      </w:r>
      <w:r w:rsidR="00DE03D2" w:rsidRPr="00FD71F1">
        <w:rPr>
          <w:b/>
          <w:lang w:val="nl-NL"/>
        </w:rPr>
        <w:t>nieuw</w:t>
      </w:r>
      <w:r w:rsidRPr="00FD71F1">
        <w:rPr>
          <w:b/>
          <w:lang w:val="nl-NL"/>
        </w:rPr>
        <w:t>e regels</w:t>
      </w:r>
      <w:r w:rsidRPr="0040256E">
        <w:rPr>
          <w:lang w:val="nl-NL"/>
        </w:rPr>
        <w:t>.</w:t>
      </w:r>
      <w:r w:rsidR="00DE03D2" w:rsidRPr="00DE03D2">
        <w:t xml:space="preserve"> </w:t>
      </w:r>
      <w:r w:rsidR="00FC372C">
        <w:rPr>
          <w:lang w:val="nl-NL"/>
        </w:rPr>
        <w:t>Alvast een aantal uitgangspunten.</w:t>
      </w:r>
    </w:p>
    <w:p w:rsidR="00240924" w:rsidRDefault="00240924" w:rsidP="00DE03D2">
      <w:pPr>
        <w:jc w:val="both"/>
        <w:rPr>
          <w:lang w:val="nl-NL"/>
        </w:rPr>
      </w:pPr>
    </w:p>
    <w:p w:rsidR="00786EEC" w:rsidRDefault="00DE03D2" w:rsidP="00DE03D2">
      <w:pPr>
        <w:jc w:val="both"/>
      </w:pPr>
      <w:r>
        <w:rPr>
          <w:lang w:val="nl-NL"/>
        </w:rPr>
        <w:t>Een</w:t>
      </w:r>
      <w:r w:rsidRPr="00DE03D2">
        <w:rPr>
          <w:lang w:val="nl-NL"/>
        </w:rPr>
        <w:t xml:space="preserve"> </w:t>
      </w:r>
      <w:r w:rsidRPr="00786EEC">
        <w:rPr>
          <w:i/>
          <w:lang w:val="nl-NL"/>
        </w:rPr>
        <w:t>eerste uitgangspunt</w:t>
      </w:r>
      <w:r w:rsidRPr="00DE03D2">
        <w:rPr>
          <w:lang w:val="nl-NL"/>
        </w:rPr>
        <w:t xml:space="preserve"> </w:t>
      </w:r>
      <w:r>
        <w:rPr>
          <w:lang w:val="nl-NL"/>
        </w:rPr>
        <w:t>is</w:t>
      </w:r>
      <w:r w:rsidRPr="00DE03D2">
        <w:rPr>
          <w:lang w:val="nl-NL"/>
        </w:rPr>
        <w:t xml:space="preserve"> dat nieuwe regelgeving niet met terugwerkende kracht kan worden toegepast. Een aangepast KB op de LOI-subsidie kan alleen voor de toekomst gelden. Dat zou dan betekenen dat de 90%-10%-maatregel alleen voor de toekomstige opgebouwde reserve kan gelden. </w:t>
      </w:r>
      <w:r w:rsidR="00786EEC">
        <w:rPr>
          <w:lang w:val="nl-NL"/>
        </w:rPr>
        <w:t>Tenzij de</w:t>
      </w:r>
      <w:r w:rsidR="00284A9D">
        <w:rPr>
          <w:lang w:val="nl-NL"/>
        </w:rPr>
        <w:t xml:space="preserve"> jaarlijkse</w:t>
      </w:r>
      <w:r w:rsidR="00786EEC">
        <w:rPr>
          <w:lang w:val="nl-NL"/>
        </w:rPr>
        <w:t xml:space="preserve"> omzendbrief m.b.t. het beheer van de LOI ook een voldoende basis vormt om de spelregels te wijzigen. </w:t>
      </w:r>
      <w:r w:rsidR="007A5ADA" w:rsidRPr="007A5ADA">
        <w:rPr>
          <w:lang w:val="nl-NL"/>
        </w:rPr>
        <w:t xml:space="preserve">Kan er </w:t>
      </w:r>
      <w:r w:rsidR="007D7615">
        <w:rPr>
          <w:lang w:val="nl-NL"/>
        </w:rPr>
        <w:t xml:space="preserve">m.a.w. </w:t>
      </w:r>
      <w:r w:rsidR="007A5ADA" w:rsidRPr="007A5ADA">
        <w:rPr>
          <w:lang w:val="nl-NL"/>
        </w:rPr>
        <w:t xml:space="preserve">aan de spelregels m.b.t. de </w:t>
      </w:r>
      <w:r w:rsidR="00BE7C4F">
        <w:rPr>
          <w:lang w:val="nl-NL"/>
        </w:rPr>
        <w:t>LOI-</w:t>
      </w:r>
      <w:r w:rsidR="007A5ADA" w:rsidRPr="007A5ADA">
        <w:rPr>
          <w:lang w:val="nl-NL"/>
        </w:rPr>
        <w:t>subsidies gesleuteld worden via omzendbrief of moest dat via KB?</w:t>
      </w:r>
      <w:r w:rsidR="00284A9D">
        <w:t xml:space="preserve"> Er zijn verschillende soorten omzendbrieven. Enerzijds zijn er omzendbrieven die </w:t>
      </w:r>
      <w:r w:rsidR="007D7615">
        <w:t xml:space="preserve">de </w:t>
      </w:r>
      <w:r w:rsidR="00284A9D">
        <w:t>bestaande rechtsregels verder uitleggen of interpreteren. Anderzijds zijn er verordenende omzendbrieven die rechtsregels toevoegen. Om de regels m.b.t. de LOI-</w:t>
      </w:r>
      <w:r w:rsidR="007D7615">
        <w:t>reserves</w:t>
      </w:r>
      <w:r w:rsidR="00284A9D">
        <w:t xml:space="preserve"> te kunnen wijzigen, </w:t>
      </w:r>
      <w:r w:rsidR="00BE7C4F">
        <w:t>is</w:t>
      </w:r>
      <w:r w:rsidR="00284A9D">
        <w:t xml:space="preserve"> een verordenende omzendbrief </w:t>
      </w:r>
      <w:r w:rsidR="00BE7C4F">
        <w:t>vereist</w:t>
      </w:r>
      <w:r w:rsidR="007D7615">
        <w:t xml:space="preserve"> aangezien er niets in het KB staat over de reserves</w:t>
      </w:r>
      <w:r w:rsidR="00284A9D">
        <w:t>. Inhoudelijk kunnen de jaarlijkse omzendbrieven m.b.t. het beheer van de LOI als verordenende omzendbrieven beschouwd worden.</w:t>
      </w:r>
      <w:r w:rsidR="00490EE4">
        <w:t xml:space="preserve"> Ze voegen zonder twijfel rechtsregels toe.</w:t>
      </w:r>
      <w:r w:rsidR="00284A9D">
        <w:t xml:space="preserve"> Maar ze voldoen niet aan de vormvereisten om een verordenende omzendbrief te zijn. Die moeten immers voor advies aan de Raad van State voorgelegd worden en </w:t>
      </w:r>
      <w:r w:rsidR="00937DD9">
        <w:t xml:space="preserve">moeten in het staatsblad gepubliceerd worden. Hoe </w:t>
      </w:r>
      <w:r w:rsidR="00937DD9">
        <w:lastRenderedPageBreak/>
        <w:t>een rechter dit zal beoordelen ingeval van een geschil, blijft afwachten. Bij ons weten zijn er immers nog geen rechterlijke uitspraken over het bindend karakter van deze omzendbrieven.</w:t>
      </w:r>
    </w:p>
    <w:p w:rsidR="00937DD9" w:rsidRDefault="00937DD9" w:rsidP="00DE03D2">
      <w:pPr>
        <w:jc w:val="both"/>
        <w:rPr>
          <w:lang w:val="nl-NL"/>
        </w:rPr>
      </w:pPr>
    </w:p>
    <w:p w:rsidR="00240924" w:rsidRDefault="00DE03D2" w:rsidP="000A255D">
      <w:pPr>
        <w:jc w:val="both"/>
      </w:pPr>
      <w:r>
        <w:rPr>
          <w:lang w:val="nl-NL"/>
        </w:rPr>
        <w:t xml:space="preserve">Een </w:t>
      </w:r>
      <w:r w:rsidRPr="00786EEC">
        <w:rPr>
          <w:i/>
          <w:lang w:val="nl-NL"/>
        </w:rPr>
        <w:t>tweede uitgangspunt</w:t>
      </w:r>
      <w:r w:rsidRPr="00DE03D2">
        <w:rPr>
          <w:lang w:val="nl-NL"/>
        </w:rPr>
        <w:t xml:space="preserve"> is</w:t>
      </w:r>
      <w:r w:rsidR="00786EEC">
        <w:rPr>
          <w:lang w:val="nl-NL"/>
        </w:rPr>
        <w:t xml:space="preserve"> </w:t>
      </w:r>
      <w:r w:rsidRPr="00DE03D2">
        <w:rPr>
          <w:lang w:val="nl-NL"/>
        </w:rPr>
        <w:t xml:space="preserve">dat een overheid die subsidies toekent, gerechtigd, zelfs verplicht, is om te controleren of de subsidies voor het juiste doel worden gebruikt en desgevallend die subsidies terug te vorderen als dat niet het geval zou zijn. </w:t>
      </w:r>
      <w:r w:rsidR="00937DD9">
        <w:rPr>
          <w:lang w:val="nl-NL"/>
        </w:rPr>
        <w:t xml:space="preserve">Forfaitaire subsidies zijn dus niet zonder meer verworven in die mate dat eventuele overschotten ook voor andere doeleinden gebruikt kunnen worden. </w:t>
      </w:r>
      <w:r w:rsidR="00786EEC">
        <w:rPr>
          <w:lang w:val="nl-NL"/>
        </w:rPr>
        <w:t>Maar i</w:t>
      </w:r>
      <w:r w:rsidRPr="00DE03D2">
        <w:rPr>
          <w:lang w:val="nl-NL"/>
        </w:rPr>
        <w:t xml:space="preserve">s het niet uitgeven </w:t>
      </w:r>
      <w:r w:rsidR="00937DD9">
        <w:rPr>
          <w:lang w:val="nl-NL"/>
        </w:rPr>
        <w:t xml:space="preserve">en dus opsparen </w:t>
      </w:r>
      <w:r w:rsidRPr="00DE03D2">
        <w:rPr>
          <w:lang w:val="nl-NL"/>
        </w:rPr>
        <w:t>van subsidies ook onjuist gebruik als het OCMW de opdracht correct vervult?</w:t>
      </w:r>
    </w:p>
    <w:p w:rsidR="00937DD9" w:rsidRPr="000A255D" w:rsidRDefault="00937DD9" w:rsidP="000A255D">
      <w:pPr>
        <w:jc w:val="both"/>
      </w:pPr>
    </w:p>
    <w:p w:rsidR="00937DD9" w:rsidRPr="00937DD9" w:rsidRDefault="00786EEC" w:rsidP="00937DD9">
      <w:pPr>
        <w:jc w:val="both"/>
      </w:pPr>
      <w:r>
        <w:rPr>
          <w:lang w:val="nl-NL"/>
        </w:rPr>
        <w:t xml:space="preserve">Een </w:t>
      </w:r>
      <w:r w:rsidRPr="00786EEC">
        <w:rPr>
          <w:i/>
          <w:lang w:val="nl-NL"/>
        </w:rPr>
        <w:t>derde uitgangspunt</w:t>
      </w:r>
      <w:r>
        <w:rPr>
          <w:lang w:val="nl-NL"/>
        </w:rPr>
        <w:t xml:space="preserve"> is het vertrouwensbeginsel tussen overheden. </w:t>
      </w:r>
      <w:r w:rsidR="00DE03D2" w:rsidRPr="00DE03D2">
        <w:rPr>
          <w:lang w:val="nl-NL"/>
        </w:rPr>
        <w:t>Bij de toepassing van een eventuele terugvordering van subsidies door de overheid, hangt alles af van de regels qua aanvraag, gebruik en verantwoording</w:t>
      </w:r>
      <w:r>
        <w:rPr>
          <w:lang w:val="nl-NL"/>
        </w:rPr>
        <w:t xml:space="preserve"> van</w:t>
      </w:r>
      <w:r w:rsidR="00DE03D2" w:rsidRPr="00DE03D2">
        <w:rPr>
          <w:lang w:val="nl-NL"/>
        </w:rPr>
        <w:t xml:space="preserve"> de subsidies. Als er </w:t>
      </w:r>
      <w:r w:rsidR="00937DD9">
        <w:rPr>
          <w:lang w:val="nl-NL"/>
        </w:rPr>
        <w:t xml:space="preserve">voordien </w:t>
      </w:r>
      <w:r w:rsidR="00DE03D2" w:rsidRPr="00DE03D2">
        <w:rPr>
          <w:lang w:val="nl-NL"/>
        </w:rPr>
        <w:t>een regeling bestond die toeliet dat het OCMW een deel van de LOI-subsidies die niet aan het LOI werden besteed, mocht houden (of als er een regeling bestond waarbij men het gebruik van slechts een deel van de toegekende subsidie moest verantwoorden), dan kan de wetgever daar nadien niet op terugkomen. Behalve vanaf het moment dat een eventuele nieuwe regeling van kracht wordt maar niet voor het verleden. Anders wordt het vertrouwensbeginsel tussen overheden aangetast.</w:t>
      </w:r>
      <w:r w:rsidR="00DE03D2" w:rsidRPr="00DE03D2">
        <w:t xml:space="preserve"> </w:t>
      </w:r>
      <w:r w:rsidR="00937DD9">
        <w:t xml:space="preserve">Dat beginsel ondersteunt dus ook de vraag naar rechtszekerheid voor de lopende dossiers. </w:t>
      </w:r>
      <w:r w:rsidR="00937DD9" w:rsidRPr="00937DD9">
        <w:t xml:space="preserve">Daarnaast </w:t>
      </w:r>
      <w:r w:rsidR="00937DD9">
        <w:t>is</w:t>
      </w:r>
      <w:r w:rsidR="00937DD9" w:rsidRPr="00937DD9">
        <w:t xml:space="preserve"> er het moratorium van Fedasil op beslissingen i.v.m. </w:t>
      </w:r>
      <w:r w:rsidR="00937DD9">
        <w:t xml:space="preserve">de na 30 juni 2017 </w:t>
      </w:r>
      <w:r w:rsidR="00937DD9" w:rsidRPr="00937DD9">
        <w:t xml:space="preserve">ingediende </w:t>
      </w:r>
      <w:r w:rsidR="00937DD9">
        <w:t>investerings</w:t>
      </w:r>
      <w:r w:rsidR="00937DD9" w:rsidRPr="00937DD9">
        <w:t xml:space="preserve">aanvragen. Is het nog redelijk verantwoord om gedurende minstens 8 maanden geen antwoord te geven op aanvragen die volgens de </w:t>
      </w:r>
      <w:r w:rsidR="00937DD9">
        <w:t>net verstuurde</w:t>
      </w:r>
      <w:r w:rsidR="00937DD9" w:rsidRPr="00937DD9">
        <w:t xml:space="preserve"> omzendbrief </w:t>
      </w:r>
      <w:r w:rsidR="00937DD9">
        <w:t>gevraagd</w:t>
      </w:r>
      <w:r w:rsidR="00937DD9" w:rsidRPr="00937DD9">
        <w:t xml:space="preserve"> moesten worden? </w:t>
      </w:r>
    </w:p>
    <w:p w:rsidR="00240924" w:rsidRDefault="00240924" w:rsidP="006144F0">
      <w:pPr>
        <w:jc w:val="both"/>
      </w:pPr>
    </w:p>
    <w:p w:rsidR="006144F0" w:rsidRDefault="00A26BBA" w:rsidP="006144F0">
      <w:pPr>
        <w:jc w:val="both"/>
      </w:pPr>
      <w:r>
        <w:t>Fabienne Crauwels</w:t>
      </w:r>
    </w:p>
    <w:sectPr w:rsidR="006144F0" w:rsidSect="00FB6255">
      <w:headerReference w:type="default" r:id="rId10"/>
      <w:footerReference w:type="even" r:id="rId11"/>
      <w:footerReference w:type="default" r:id="rId12"/>
      <w:headerReference w:type="first" r:id="rId13"/>
      <w:footerReference w:type="first" r:id="rId14"/>
      <w:pgSz w:w="11906" w:h="16838"/>
      <w:pgMar w:top="2694" w:right="1985" w:bottom="1418" w:left="1531" w:header="850" w:footer="42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1903" w:rsidRDefault="00011903" w:rsidP="003D1334">
      <w:r>
        <w:separator/>
      </w:r>
    </w:p>
  </w:endnote>
  <w:endnote w:type="continuationSeparator" w:id="0">
    <w:p w:rsidR="00011903" w:rsidRDefault="00011903" w:rsidP="003D13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6EEC" w:rsidRDefault="00786EEC" w:rsidP="00821EAE">
    <w:r>
      <w:fldChar w:fldCharType="begin"/>
    </w:r>
    <w:r>
      <w:instrText xml:space="preserve"> PAGE \* Arabic \* MERGEFORMAT </w:instrText>
    </w:r>
    <w:r>
      <w:fldChar w:fldCharType="separate"/>
    </w:r>
    <w:r w:rsidR="00772825">
      <w:rPr>
        <w:noProof/>
      </w:rPr>
      <w:t>6</w:t>
    </w:r>
    <w:r>
      <w:rPr>
        <w:noProof/>
      </w:rPr>
      <w:fldChar w:fldCharType="end"/>
    </w:r>
    <w:r>
      <w:t>/</w:t>
    </w:r>
    <w:fldSimple w:instr=" NUMPAGES \* Arabic \* MERGEFORMAT ">
      <w:r w:rsidR="00772825">
        <w:rPr>
          <w:noProof/>
        </w:rPr>
        <w:t>7</w:t>
      </w:r>
    </w:fldSimple>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6EEC" w:rsidRDefault="00786EEC" w:rsidP="00821EAE">
    <w:r>
      <w:fldChar w:fldCharType="begin"/>
    </w:r>
    <w:r>
      <w:instrText xml:space="preserve"> PAGE \* Arabic \* MERGEFORMAT </w:instrText>
    </w:r>
    <w:r>
      <w:fldChar w:fldCharType="separate"/>
    </w:r>
    <w:r w:rsidR="00772825">
      <w:rPr>
        <w:noProof/>
      </w:rPr>
      <w:t>7</w:t>
    </w:r>
    <w:r>
      <w:rPr>
        <w:noProof/>
      </w:rPr>
      <w:fldChar w:fldCharType="end"/>
    </w:r>
    <w:r>
      <w:t>/</w:t>
    </w:r>
    <w:fldSimple w:instr=" NUMPAGES \* Arabic \* MERGEFORMAT ">
      <w:r w:rsidR="00772825">
        <w:rPr>
          <w:noProof/>
        </w:rPr>
        <w:t>7</w:t>
      </w:r>
    </w:fldSimple>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6EEC" w:rsidRDefault="00786EEC" w:rsidP="00FB6255">
    <w:r>
      <w:fldChar w:fldCharType="begin"/>
    </w:r>
    <w:r>
      <w:instrText xml:space="preserve"> PAGE \* Arabic \* MERGEFORMAT </w:instrText>
    </w:r>
    <w:r>
      <w:fldChar w:fldCharType="separate"/>
    </w:r>
    <w:r w:rsidR="00772825">
      <w:rPr>
        <w:noProof/>
      </w:rPr>
      <w:t>1</w:t>
    </w:r>
    <w:r>
      <w:rPr>
        <w:noProof/>
      </w:rPr>
      <w:fldChar w:fldCharType="end"/>
    </w:r>
    <w:r>
      <w:t>/</w:t>
    </w:r>
    <w:fldSimple w:instr=" NUMPAGES \* Arabic \* MERGEFORMAT ">
      <w:r w:rsidR="00772825">
        <w:rPr>
          <w:noProof/>
        </w:rPr>
        <w:t>7</w:t>
      </w:r>
    </w:fldSimple>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1903" w:rsidRDefault="00011903" w:rsidP="003D1334">
      <w:r>
        <w:separator/>
      </w:r>
    </w:p>
  </w:footnote>
  <w:footnote w:type="continuationSeparator" w:id="0">
    <w:p w:rsidR="00011903" w:rsidRDefault="00011903" w:rsidP="003D1334">
      <w:r>
        <w:continuationSeparator/>
      </w:r>
    </w:p>
  </w:footnote>
  <w:footnote w:id="1">
    <w:p w:rsidR="00455333" w:rsidRDefault="00455333">
      <w:pPr>
        <w:pStyle w:val="Voetnoottekst"/>
      </w:pPr>
      <w:r>
        <w:rPr>
          <w:rStyle w:val="Voetnootmarkering"/>
        </w:rPr>
        <w:footnoteRef/>
      </w:r>
      <w:r>
        <w:t xml:space="preserve"> Deze datum werd verlaat van 30 juni 2018 naar 31 augustus 2018 in verband met de eventuele investeringen in het kader van de afbouw van de LOI-plaatsen.</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6EEC" w:rsidRDefault="00786EEC" w:rsidP="003D1334">
    <w:pPr>
      <w:pStyle w:val="Koptekst"/>
    </w:pPr>
    <w:r>
      <w:rPr>
        <w:noProof/>
        <w:lang w:val="nl-BE" w:eastAsia="nl-BE"/>
      </w:rPr>
      <w:drawing>
        <wp:anchor distT="0" distB="0" distL="114300" distR="114300" simplePos="0" relativeHeight="251657728" behindDoc="0" locked="0" layoutInCell="1" allowOverlap="1">
          <wp:simplePos x="0" y="0"/>
          <wp:positionH relativeFrom="page">
            <wp:posOffset>6192520</wp:posOffset>
          </wp:positionH>
          <wp:positionV relativeFrom="page">
            <wp:posOffset>335915</wp:posOffset>
          </wp:positionV>
          <wp:extent cx="960755" cy="972820"/>
          <wp:effectExtent l="0" t="0" r="0" b="0"/>
          <wp:wrapNone/>
          <wp:docPr id="3" name="Afbeelding 3" descr="Beschrijving: VVSG_lo_RGB-briefpapi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eschrijving: VVSG_lo_RGB-briefpapi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0755" cy="97282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6EEC" w:rsidRDefault="00786EEC" w:rsidP="003D1334">
    <w:pPr>
      <w:pStyle w:val="Koptekst"/>
    </w:pPr>
    <w:r>
      <w:rPr>
        <w:noProof/>
        <w:lang w:val="nl-BE" w:eastAsia="nl-BE"/>
      </w:rPr>
      <w:drawing>
        <wp:anchor distT="0" distB="0" distL="114300" distR="114300" simplePos="0" relativeHeight="251658752" behindDoc="0" locked="0" layoutInCell="1" allowOverlap="1">
          <wp:simplePos x="0" y="0"/>
          <wp:positionH relativeFrom="column">
            <wp:posOffset>10160</wp:posOffset>
          </wp:positionH>
          <wp:positionV relativeFrom="paragraph">
            <wp:posOffset>-64135</wp:posOffset>
          </wp:positionV>
          <wp:extent cx="3080385" cy="504825"/>
          <wp:effectExtent l="0" t="0" r="5715" b="9525"/>
          <wp:wrapNone/>
          <wp:docPr id="2" name="Afbeelding 2" descr="Beschrijving: Adressering_ZWART-briefpapier-01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eschrijving: Adressering_ZWART-briefpapier-010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80385" cy="504825"/>
                  </a:xfrm>
                  <a:prstGeom prst="rect">
                    <a:avLst/>
                  </a:prstGeom>
                  <a:noFill/>
                </pic:spPr>
              </pic:pic>
            </a:graphicData>
          </a:graphic>
          <wp14:sizeRelH relativeFrom="page">
            <wp14:pctWidth>0</wp14:pctWidth>
          </wp14:sizeRelH>
          <wp14:sizeRelV relativeFrom="page">
            <wp14:pctHeight>0</wp14:pctHeight>
          </wp14:sizeRelV>
        </wp:anchor>
      </w:drawing>
    </w:r>
    <w:r>
      <w:rPr>
        <w:noProof/>
        <w:lang w:val="nl-BE" w:eastAsia="nl-BE"/>
      </w:rPr>
      <w:drawing>
        <wp:anchor distT="0" distB="0" distL="114300" distR="114300" simplePos="0" relativeHeight="251656704" behindDoc="0" locked="0" layoutInCell="1" allowOverlap="1">
          <wp:simplePos x="0" y="0"/>
          <wp:positionH relativeFrom="page">
            <wp:posOffset>6193155</wp:posOffset>
          </wp:positionH>
          <wp:positionV relativeFrom="page">
            <wp:posOffset>328930</wp:posOffset>
          </wp:positionV>
          <wp:extent cx="961390" cy="972820"/>
          <wp:effectExtent l="0" t="0" r="0" b="0"/>
          <wp:wrapNone/>
          <wp:docPr id="1" name="Afbeelding 0" descr="Beschrijving: VVSG_lo_RGB-briefpapi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0" descr="Beschrijving: VVSG_lo_RGB-briefpapier.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61390" cy="97282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004247F8"/>
    <w:lvl w:ilvl="0">
      <w:start w:val="1"/>
      <w:numFmt w:val="bullet"/>
      <w:pStyle w:val="Lijstopsomteken"/>
      <w:lvlText w:val=""/>
      <w:lvlJc w:val="left"/>
      <w:pPr>
        <w:tabs>
          <w:tab w:val="num" w:pos="360"/>
        </w:tabs>
        <w:ind w:left="360" w:hanging="360"/>
      </w:pPr>
      <w:rPr>
        <w:rFonts w:ascii="Symbol" w:hAnsi="Symbol" w:hint="default"/>
      </w:rPr>
    </w:lvl>
  </w:abstractNum>
  <w:abstractNum w:abstractNumId="1" w15:restartNumberingAfterBreak="0">
    <w:nsid w:val="108A3FAA"/>
    <w:multiLevelType w:val="multilevel"/>
    <w:tmpl w:val="6B40169C"/>
    <w:name w:val="VVSG-lijst"/>
    <w:lvl w:ilvl="0">
      <w:start w:val="1"/>
      <w:numFmt w:val="decimal"/>
      <w:lvlText w:val="%1."/>
      <w:lvlJc w:val="left"/>
      <w:pPr>
        <w:ind w:left="360" w:hanging="360"/>
      </w:pPr>
      <w:rPr>
        <w:rFonts w:ascii="Arial" w:hAnsi="Arial" w:hint="default"/>
        <w:caps w:val="0"/>
        <w:strike w:val="0"/>
        <w:dstrike w:val="0"/>
        <w:color w:val="CC0077"/>
        <w:vertAlign w:val="baseline"/>
      </w:rPr>
    </w:lvl>
    <w:lvl w:ilvl="1">
      <w:start w:val="1"/>
      <w:numFmt w:val="lowerLetter"/>
      <w:lvlText w:val="%2."/>
      <w:lvlJc w:val="left"/>
      <w:pPr>
        <w:ind w:left="924" w:hanging="357"/>
      </w:pPr>
      <w:rPr>
        <w:rFonts w:ascii="Arial" w:hAnsi="Arial" w:hint="default"/>
        <w:caps w:val="0"/>
        <w:strike w:val="0"/>
        <w:dstrike w:val="0"/>
        <w:color w:val="CCDD11"/>
        <w:vertAlign w:val="baseline"/>
      </w:rPr>
    </w:lvl>
    <w:lvl w:ilvl="2">
      <w:start w:val="1"/>
      <w:numFmt w:val="lowerRoman"/>
      <w:lvlText w:val="%3."/>
      <w:lvlJc w:val="right"/>
      <w:pPr>
        <w:ind w:left="1491" w:hanging="357"/>
      </w:pPr>
      <w:rPr>
        <w:rFonts w:ascii="Arial" w:hAnsi="Arial" w:hint="default"/>
        <w:caps w:val="0"/>
        <w:strike w:val="0"/>
        <w:dstrike w:val="0"/>
        <w:color w:val="CCDD11"/>
        <w:vertAlign w:val="baseline"/>
      </w:rPr>
    </w:lvl>
    <w:lvl w:ilvl="3">
      <w:start w:val="1"/>
      <w:numFmt w:val="decimal"/>
      <w:lvlText w:val="%4."/>
      <w:lvlJc w:val="left"/>
      <w:pPr>
        <w:ind w:left="2880" w:hanging="360"/>
      </w:pPr>
      <w:rPr>
        <w:rFonts w:ascii="Arial" w:hAnsi="Arial" w:hint="default"/>
        <w:caps w:val="0"/>
        <w:strike w:val="0"/>
        <w:dstrike w:val="0"/>
        <w:color w:val="CCDD11"/>
        <w:vertAlign w:val="baseline"/>
      </w:rPr>
    </w:lvl>
    <w:lvl w:ilvl="4">
      <w:start w:val="1"/>
      <w:numFmt w:val="lowerLetter"/>
      <w:lvlText w:val="%5."/>
      <w:lvlJc w:val="left"/>
      <w:pPr>
        <w:ind w:left="3600" w:hanging="360"/>
      </w:pPr>
      <w:rPr>
        <w:rFonts w:hint="default"/>
        <w:caps w:val="0"/>
        <w:strike w:val="0"/>
        <w:dstrike w:val="0"/>
        <w:color w:val="CCDD11"/>
        <w:vertAlign w:val="baseline"/>
      </w:rPr>
    </w:lvl>
    <w:lvl w:ilvl="5">
      <w:start w:val="1"/>
      <w:numFmt w:val="lowerRoman"/>
      <w:lvlText w:val="%6."/>
      <w:lvlJc w:val="right"/>
      <w:pPr>
        <w:ind w:left="4320" w:hanging="180"/>
      </w:pPr>
      <w:rPr>
        <w:rFonts w:hint="default"/>
        <w:caps w:val="0"/>
        <w:strike w:val="0"/>
        <w:dstrike w:val="0"/>
        <w:color w:val="CCDD11"/>
        <w:vertAlign w:val="baseline"/>
      </w:rPr>
    </w:lvl>
    <w:lvl w:ilvl="6">
      <w:start w:val="1"/>
      <w:numFmt w:val="decimal"/>
      <w:lvlText w:val="%7."/>
      <w:lvlJc w:val="left"/>
      <w:pPr>
        <w:ind w:left="5040" w:hanging="360"/>
      </w:pPr>
      <w:rPr>
        <w:rFonts w:hint="default"/>
        <w:caps w:val="0"/>
        <w:strike w:val="0"/>
        <w:dstrike w:val="0"/>
        <w:color w:val="CCDD11"/>
        <w:vertAlign w:val="baseline"/>
      </w:rPr>
    </w:lvl>
    <w:lvl w:ilvl="7">
      <w:start w:val="1"/>
      <w:numFmt w:val="lowerLetter"/>
      <w:lvlText w:val="%8."/>
      <w:lvlJc w:val="left"/>
      <w:pPr>
        <w:ind w:left="5760" w:hanging="360"/>
      </w:pPr>
      <w:rPr>
        <w:rFonts w:hint="default"/>
        <w:caps w:val="0"/>
        <w:strike w:val="0"/>
        <w:dstrike w:val="0"/>
        <w:color w:val="CCDD11"/>
        <w:vertAlign w:val="baseline"/>
      </w:rPr>
    </w:lvl>
    <w:lvl w:ilvl="8">
      <w:start w:val="1"/>
      <w:numFmt w:val="lowerRoman"/>
      <w:lvlText w:val="%9."/>
      <w:lvlJc w:val="right"/>
      <w:pPr>
        <w:ind w:left="6480" w:hanging="180"/>
      </w:pPr>
      <w:rPr>
        <w:rFonts w:ascii="Arial" w:hAnsi="Arial" w:hint="default"/>
        <w:caps w:val="0"/>
        <w:strike w:val="0"/>
        <w:dstrike w:val="0"/>
        <w:color w:val="CCDD11"/>
        <w:vertAlign w:val="baseline"/>
      </w:rPr>
    </w:lvl>
  </w:abstractNum>
  <w:abstractNum w:abstractNumId="2" w15:restartNumberingAfterBreak="0">
    <w:nsid w:val="19742CD9"/>
    <w:multiLevelType w:val="hybridMultilevel"/>
    <w:tmpl w:val="7584A7D6"/>
    <w:lvl w:ilvl="0" w:tplc="C2106C46">
      <w:start w:val="1"/>
      <w:numFmt w:val="decimal"/>
      <w:pStyle w:val="Lijstnummering"/>
      <w:lvlText w:val="%1."/>
      <w:lvlJc w:val="left"/>
      <w:pPr>
        <w:ind w:left="720" w:hanging="360"/>
      </w:pPr>
    </w:lvl>
    <w:lvl w:ilvl="1" w:tplc="08130019">
      <w:start w:val="1"/>
      <w:numFmt w:val="lowerLetter"/>
      <w:lvlText w:val="%2."/>
      <w:lvlJc w:val="left"/>
      <w:pPr>
        <w:ind w:left="1440" w:hanging="360"/>
      </w:pPr>
    </w:lvl>
    <w:lvl w:ilvl="2" w:tplc="0813001B">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15:restartNumberingAfterBreak="0">
    <w:nsid w:val="219E7555"/>
    <w:multiLevelType w:val="hybridMultilevel"/>
    <w:tmpl w:val="0DACE920"/>
    <w:lvl w:ilvl="0" w:tplc="4F04B762">
      <w:numFmt w:val="bullet"/>
      <w:lvlText w:val="-"/>
      <w:lvlJc w:val="left"/>
      <w:pPr>
        <w:ind w:left="720" w:hanging="360"/>
      </w:pPr>
      <w:rPr>
        <w:rFonts w:ascii="Calibri" w:eastAsia="Calibri"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298A5A6D"/>
    <w:multiLevelType w:val="hybridMultilevel"/>
    <w:tmpl w:val="E14E0CAA"/>
    <w:lvl w:ilvl="0" w:tplc="BF8A8DF4">
      <w:start w:val="1"/>
      <w:numFmt w:val="bullet"/>
      <w:pStyle w:val="Opsomming"/>
      <w:lvlText w:val=""/>
      <w:lvlJc w:val="left"/>
      <w:pPr>
        <w:ind w:left="720" w:hanging="360"/>
      </w:pPr>
      <w:rPr>
        <w:rFonts w:ascii="Symbol" w:hAnsi="Symbol" w:hint="default"/>
        <w:caps w:val="0"/>
        <w:strike w:val="0"/>
        <w:dstrike w:val="0"/>
        <w:color w:val="773388"/>
        <w:spacing w:val="0"/>
        <w:w w:val="100"/>
        <w:position w:val="0"/>
        <w:vertAlign w:val="baseline"/>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3488032A"/>
    <w:multiLevelType w:val="multilevel"/>
    <w:tmpl w:val="B4BE6BE6"/>
    <w:styleLink w:val="nummering-"/>
    <w:lvl w:ilvl="0">
      <w:start w:val="1"/>
      <w:numFmt w:val="decimal"/>
      <w:lvlText w:val="%1."/>
      <w:lvlJc w:val="left"/>
      <w:pPr>
        <w:tabs>
          <w:tab w:val="num" w:pos="284"/>
        </w:tabs>
        <w:ind w:left="284" w:hanging="284"/>
      </w:pPr>
      <w:rPr>
        <w:rFonts w:hint="default"/>
      </w:rPr>
    </w:lvl>
    <w:lvl w:ilvl="1">
      <w:start w:val="1"/>
      <w:numFmt w:val="lowerLetter"/>
      <w:lvlText w:val="%2."/>
      <w:lvlJc w:val="left"/>
      <w:pPr>
        <w:tabs>
          <w:tab w:val="num" w:pos="568"/>
        </w:tabs>
        <w:ind w:left="568" w:hanging="284"/>
      </w:pPr>
      <w:rPr>
        <w:rFonts w:hint="default"/>
        <w:color w:val="585849"/>
      </w:rPr>
    </w:lvl>
    <w:lvl w:ilvl="2">
      <w:start w:val="1"/>
      <w:numFmt w:val="lowerRoman"/>
      <w:lvlText w:val="%3."/>
      <w:lvlJc w:val="right"/>
      <w:pPr>
        <w:tabs>
          <w:tab w:val="num" w:pos="852"/>
        </w:tabs>
        <w:ind w:left="852" w:hanging="284"/>
      </w:pPr>
      <w:rPr>
        <w:rFonts w:hint="default"/>
      </w:rPr>
    </w:lvl>
    <w:lvl w:ilvl="3">
      <w:start w:val="1"/>
      <w:numFmt w:val="decimal"/>
      <w:lvlText w:val="%4."/>
      <w:lvlJc w:val="right"/>
      <w:pPr>
        <w:tabs>
          <w:tab w:val="num" w:pos="1136"/>
        </w:tabs>
        <w:ind w:left="1136" w:hanging="284"/>
      </w:pPr>
      <w:rPr>
        <w:rFonts w:hint="default"/>
      </w:rPr>
    </w:lvl>
    <w:lvl w:ilvl="4">
      <w:start w:val="1"/>
      <w:numFmt w:val="lowerLetter"/>
      <w:lvlText w:val="%5."/>
      <w:lvlJc w:val="right"/>
      <w:pPr>
        <w:tabs>
          <w:tab w:val="num" w:pos="1420"/>
        </w:tabs>
        <w:ind w:left="1420" w:hanging="284"/>
      </w:pPr>
      <w:rPr>
        <w:rFonts w:hint="default"/>
      </w:rPr>
    </w:lvl>
    <w:lvl w:ilvl="5">
      <w:start w:val="1"/>
      <w:numFmt w:val="lowerRoman"/>
      <w:lvlText w:val="%6."/>
      <w:lvlJc w:val="right"/>
      <w:pPr>
        <w:tabs>
          <w:tab w:val="num" w:pos="1704"/>
        </w:tabs>
        <w:ind w:left="1704" w:hanging="284"/>
      </w:pPr>
      <w:rPr>
        <w:rFonts w:hint="default"/>
      </w:rPr>
    </w:lvl>
    <w:lvl w:ilvl="6">
      <w:start w:val="1"/>
      <w:numFmt w:val="decimal"/>
      <w:lvlText w:val="%7."/>
      <w:lvlJc w:val="right"/>
      <w:pPr>
        <w:tabs>
          <w:tab w:val="num" w:pos="1988"/>
        </w:tabs>
        <w:ind w:left="1988" w:hanging="284"/>
      </w:pPr>
      <w:rPr>
        <w:rFonts w:hint="default"/>
      </w:rPr>
    </w:lvl>
    <w:lvl w:ilvl="7">
      <w:start w:val="1"/>
      <w:numFmt w:val="lowerLetter"/>
      <w:lvlText w:val="%8."/>
      <w:lvlJc w:val="right"/>
      <w:pPr>
        <w:tabs>
          <w:tab w:val="num" w:pos="2272"/>
        </w:tabs>
        <w:ind w:left="2272" w:hanging="284"/>
      </w:pPr>
      <w:rPr>
        <w:rFonts w:hint="default"/>
      </w:rPr>
    </w:lvl>
    <w:lvl w:ilvl="8">
      <w:start w:val="1"/>
      <w:numFmt w:val="lowerRoman"/>
      <w:lvlText w:val="%9."/>
      <w:lvlJc w:val="right"/>
      <w:pPr>
        <w:tabs>
          <w:tab w:val="num" w:pos="2556"/>
        </w:tabs>
        <w:ind w:left="2556" w:hanging="284"/>
      </w:pPr>
      <w:rPr>
        <w:rFonts w:hint="default"/>
      </w:rPr>
    </w:lvl>
  </w:abstractNum>
  <w:abstractNum w:abstractNumId="6" w15:restartNumberingAfterBreak="0">
    <w:nsid w:val="3C4553DA"/>
    <w:multiLevelType w:val="hybridMultilevel"/>
    <w:tmpl w:val="B7002A1A"/>
    <w:lvl w:ilvl="0" w:tplc="E8BC31CA">
      <w:start w:val="29"/>
      <w:numFmt w:val="bullet"/>
      <w:lvlText w:val="-"/>
      <w:lvlJc w:val="left"/>
      <w:pPr>
        <w:ind w:left="720" w:hanging="360"/>
      </w:pPr>
      <w:rPr>
        <w:rFonts w:ascii="Arial" w:eastAsia="Times New Roman" w:hAnsi="Aria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47F36EC6"/>
    <w:multiLevelType w:val="hybridMultilevel"/>
    <w:tmpl w:val="F83CDAF2"/>
    <w:lvl w:ilvl="0" w:tplc="E8BC31CA">
      <w:start w:val="29"/>
      <w:numFmt w:val="bullet"/>
      <w:lvlText w:val="-"/>
      <w:lvlJc w:val="left"/>
      <w:pPr>
        <w:ind w:left="720" w:hanging="360"/>
      </w:pPr>
      <w:rPr>
        <w:rFonts w:ascii="Arial" w:eastAsia="Times New Roman" w:hAnsi="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590553D1"/>
    <w:multiLevelType w:val="hybridMultilevel"/>
    <w:tmpl w:val="74161496"/>
    <w:lvl w:ilvl="0" w:tplc="08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5EEF43AA"/>
    <w:multiLevelType w:val="multilevel"/>
    <w:tmpl w:val="6A84C28C"/>
    <w:lvl w:ilvl="0">
      <w:start w:val="1"/>
      <w:numFmt w:val="decimal"/>
      <w:pStyle w:val="Kop1"/>
      <w:suff w:val="space"/>
      <w:lvlText w:val="%1"/>
      <w:lvlJc w:val="right"/>
      <w:pPr>
        <w:ind w:left="0" w:firstLine="0"/>
      </w:pPr>
      <w:rPr>
        <w:rFonts w:hint="default"/>
      </w:rPr>
    </w:lvl>
    <w:lvl w:ilvl="1">
      <w:start w:val="1"/>
      <w:numFmt w:val="decimal"/>
      <w:pStyle w:val="Kop2"/>
      <w:suff w:val="space"/>
      <w:lvlText w:val="%1.%2"/>
      <w:lvlJc w:val="right"/>
      <w:pPr>
        <w:ind w:left="0" w:firstLine="0"/>
      </w:pPr>
      <w:rPr>
        <w:rFonts w:hint="default"/>
      </w:rPr>
    </w:lvl>
    <w:lvl w:ilvl="2">
      <w:start w:val="1"/>
      <w:numFmt w:val="decimal"/>
      <w:pStyle w:val="Kop3"/>
      <w:suff w:val="space"/>
      <w:lvlText w:val="%1.%2.%3"/>
      <w:lvlJc w:val="right"/>
      <w:pPr>
        <w:ind w:left="8363" w:firstLine="0"/>
      </w:pPr>
      <w:rPr>
        <w:rFonts w:hint="default"/>
      </w:rPr>
    </w:lvl>
    <w:lvl w:ilvl="3">
      <w:start w:val="1"/>
      <w:numFmt w:val="decimal"/>
      <w:pStyle w:val="Kop4"/>
      <w:suff w:val="space"/>
      <w:lvlText w:val="%1.%2.%3.%4"/>
      <w:lvlJc w:val="right"/>
      <w:pPr>
        <w:ind w:left="0" w:firstLine="0"/>
      </w:pPr>
      <w:rPr>
        <w:rFonts w:hint="default"/>
      </w:rPr>
    </w:lvl>
    <w:lvl w:ilvl="4">
      <w:start w:val="1"/>
      <w:numFmt w:val="none"/>
      <w:pStyle w:val="Kop5"/>
      <w:suff w:val="space"/>
      <w:lvlText w:val=""/>
      <w:lvlJc w:val="right"/>
      <w:pPr>
        <w:ind w:left="0" w:firstLine="0"/>
      </w:pPr>
      <w:rPr>
        <w:rFonts w:hint="default"/>
      </w:rPr>
    </w:lvl>
    <w:lvl w:ilvl="5">
      <w:start w:val="1"/>
      <w:numFmt w:val="none"/>
      <w:pStyle w:val="Kop6"/>
      <w:suff w:val="space"/>
      <w:lvlText w:val=""/>
      <w:lvlJc w:val="right"/>
      <w:pPr>
        <w:ind w:left="0" w:firstLine="0"/>
      </w:pPr>
      <w:rPr>
        <w:rFonts w:hint="default"/>
      </w:rPr>
    </w:lvl>
    <w:lvl w:ilvl="6">
      <w:start w:val="1"/>
      <w:numFmt w:val="none"/>
      <w:pStyle w:val="Kop7"/>
      <w:suff w:val="space"/>
      <w:lvlText w:val=""/>
      <w:lvlJc w:val="right"/>
      <w:pPr>
        <w:ind w:left="0" w:firstLine="0"/>
      </w:pPr>
      <w:rPr>
        <w:rFonts w:hint="default"/>
      </w:rPr>
    </w:lvl>
    <w:lvl w:ilvl="7">
      <w:start w:val="1"/>
      <w:numFmt w:val="none"/>
      <w:pStyle w:val="Kop8"/>
      <w:suff w:val="space"/>
      <w:lvlText w:val=""/>
      <w:lvlJc w:val="right"/>
      <w:pPr>
        <w:ind w:left="0" w:firstLine="0"/>
      </w:pPr>
      <w:rPr>
        <w:rFonts w:hint="default"/>
      </w:rPr>
    </w:lvl>
    <w:lvl w:ilvl="8">
      <w:start w:val="1"/>
      <w:numFmt w:val="none"/>
      <w:pStyle w:val="Kop9"/>
      <w:suff w:val="space"/>
      <w:lvlText w:val=""/>
      <w:lvlJc w:val="right"/>
      <w:pPr>
        <w:ind w:left="0" w:firstLine="0"/>
      </w:pPr>
      <w:rPr>
        <w:rFonts w:hint="default"/>
      </w:rPr>
    </w:lvl>
  </w:abstractNum>
  <w:abstractNum w:abstractNumId="10" w15:restartNumberingAfterBreak="0">
    <w:nsid w:val="60F150B5"/>
    <w:multiLevelType w:val="multilevel"/>
    <w:tmpl w:val="A5F63A5C"/>
    <w:styleLink w:val="Opsomming-"/>
    <w:lvl w:ilvl="0">
      <w:start w:val="1"/>
      <w:numFmt w:val="bullet"/>
      <w:lvlText w:val=""/>
      <w:lvlJc w:val="left"/>
      <w:pPr>
        <w:ind w:left="284" w:hanging="284"/>
      </w:pPr>
      <w:rPr>
        <w:rFonts w:ascii="Symbol" w:hAnsi="Symbol" w:hint="default"/>
        <w:caps w:val="0"/>
        <w:strike w:val="0"/>
        <w:dstrike w:val="0"/>
        <w:color w:val="773388"/>
        <w:spacing w:val="0"/>
        <w:w w:val="100"/>
        <w:position w:val="0"/>
        <w:vertAlign w:val="baseline"/>
      </w:rPr>
    </w:lvl>
    <w:lvl w:ilvl="1">
      <w:start w:val="1"/>
      <w:numFmt w:val="bullet"/>
      <w:lvlText w:val="-"/>
      <w:lvlJc w:val="left"/>
      <w:pPr>
        <w:ind w:left="568" w:hanging="284"/>
      </w:pPr>
      <w:rPr>
        <w:rFonts w:ascii="Arial" w:hAnsi="Arial" w:hint="default"/>
        <w:color w:val="773388"/>
      </w:rPr>
    </w:lvl>
    <w:lvl w:ilvl="2">
      <w:start w:val="1"/>
      <w:numFmt w:val="bullet"/>
      <w:lvlText w:val=""/>
      <w:lvlJc w:val="left"/>
      <w:pPr>
        <w:ind w:left="852" w:hanging="284"/>
      </w:pPr>
      <w:rPr>
        <w:rFonts w:ascii="Wingdings" w:hAnsi="Wingdings" w:hint="default"/>
        <w:color w:val="773388"/>
        <w:u w:color="773388"/>
      </w:rPr>
    </w:lvl>
    <w:lvl w:ilvl="3">
      <w:start w:val="1"/>
      <w:numFmt w:val="bullet"/>
      <w:lvlText w:val=""/>
      <w:lvlJc w:val="left"/>
      <w:pPr>
        <w:ind w:left="1136" w:hanging="284"/>
      </w:pPr>
      <w:rPr>
        <w:rFonts w:ascii="Symbol" w:hAnsi="Symbol" w:hint="default"/>
        <w:color w:val="773388"/>
        <w:u w:color="773388"/>
      </w:rPr>
    </w:lvl>
    <w:lvl w:ilvl="4">
      <w:start w:val="1"/>
      <w:numFmt w:val="bullet"/>
      <w:lvlText w:val="o"/>
      <w:lvlJc w:val="left"/>
      <w:pPr>
        <w:ind w:left="1420" w:hanging="284"/>
      </w:pPr>
      <w:rPr>
        <w:rFonts w:ascii="Courier New" w:hAnsi="Courier New" w:hint="default"/>
        <w:color w:val="773388"/>
        <w:u w:color="773388"/>
      </w:rPr>
    </w:lvl>
    <w:lvl w:ilvl="5">
      <w:start w:val="1"/>
      <w:numFmt w:val="bullet"/>
      <w:lvlText w:val=""/>
      <w:lvlJc w:val="left"/>
      <w:pPr>
        <w:ind w:left="1704" w:hanging="284"/>
      </w:pPr>
      <w:rPr>
        <w:rFonts w:ascii="Wingdings" w:hAnsi="Wingdings" w:hint="default"/>
        <w:color w:val="773388"/>
        <w:u w:color="773388"/>
      </w:rPr>
    </w:lvl>
    <w:lvl w:ilvl="6">
      <w:start w:val="1"/>
      <w:numFmt w:val="bullet"/>
      <w:lvlText w:val=""/>
      <w:lvlJc w:val="left"/>
      <w:pPr>
        <w:ind w:left="1988" w:hanging="284"/>
      </w:pPr>
      <w:rPr>
        <w:rFonts w:ascii="Symbol" w:hAnsi="Symbol" w:hint="default"/>
        <w:color w:val="773388"/>
        <w:u w:color="773388"/>
      </w:rPr>
    </w:lvl>
    <w:lvl w:ilvl="7">
      <w:start w:val="1"/>
      <w:numFmt w:val="bullet"/>
      <w:lvlText w:val="o"/>
      <w:lvlJc w:val="left"/>
      <w:pPr>
        <w:ind w:left="2272" w:hanging="284"/>
      </w:pPr>
      <w:rPr>
        <w:rFonts w:ascii="Courier New" w:hAnsi="Courier New" w:hint="default"/>
        <w:u w:color="773388"/>
      </w:rPr>
    </w:lvl>
    <w:lvl w:ilvl="8">
      <w:start w:val="1"/>
      <w:numFmt w:val="bullet"/>
      <w:lvlText w:val=""/>
      <w:lvlJc w:val="left"/>
      <w:pPr>
        <w:ind w:left="2556" w:hanging="284"/>
      </w:pPr>
      <w:rPr>
        <w:rFonts w:ascii="Wingdings" w:hAnsi="Wingdings" w:hint="default"/>
        <w:u w:color="773388"/>
      </w:rPr>
    </w:lvl>
  </w:abstractNum>
  <w:abstractNum w:abstractNumId="11" w15:restartNumberingAfterBreak="0">
    <w:nsid w:val="7BDC75EF"/>
    <w:multiLevelType w:val="hybridMultilevel"/>
    <w:tmpl w:val="363292FE"/>
    <w:lvl w:ilvl="0" w:tplc="4F04B762">
      <w:numFmt w:val="bullet"/>
      <w:lvlText w:val="-"/>
      <w:lvlJc w:val="left"/>
      <w:pPr>
        <w:ind w:left="720" w:hanging="360"/>
      </w:pPr>
      <w:rPr>
        <w:rFonts w:ascii="Calibri" w:eastAsia="Calibri" w:hAnsi="Calibri"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5"/>
  </w:num>
  <w:num w:numId="4">
    <w:abstractNumId w:val="4"/>
  </w:num>
  <w:num w:numId="5">
    <w:abstractNumId w:val="10"/>
  </w:num>
  <w:num w:numId="6">
    <w:abstractNumId w:val="9"/>
  </w:num>
  <w:num w:numId="7">
    <w:abstractNumId w:val="6"/>
  </w:num>
  <w:num w:numId="8">
    <w:abstractNumId w:val="7"/>
  </w:num>
  <w:num w:numId="9">
    <w:abstractNumId w:val="3"/>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num>
  <w:num w:numId="12">
    <w:abstractNumId w:val="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proofState w:spelling="clean"/>
  <w:stylePaneFormatFilter w:val="3F28" w:allStyles="0" w:customStyles="0" w:latentStyles="0" w:stylesInUse="1"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evenAndOddHeaders/>
  <w:drawingGridHorizontalSpacing w:val="90"/>
  <w:displayHorizont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5577"/>
    <w:rsid w:val="0000019F"/>
    <w:rsid w:val="0000183E"/>
    <w:rsid w:val="00001D62"/>
    <w:rsid w:val="00004622"/>
    <w:rsid w:val="00005A5D"/>
    <w:rsid w:val="00011903"/>
    <w:rsid w:val="00011F94"/>
    <w:rsid w:val="00013083"/>
    <w:rsid w:val="000165CA"/>
    <w:rsid w:val="00020F97"/>
    <w:rsid w:val="000233F0"/>
    <w:rsid w:val="000237EE"/>
    <w:rsid w:val="00027783"/>
    <w:rsid w:val="00027C2B"/>
    <w:rsid w:val="0003056B"/>
    <w:rsid w:val="0003126D"/>
    <w:rsid w:val="00032DA4"/>
    <w:rsid w:val="0003410D"/>
    <w:rsid w:val="00035F0F"/>
    <w:rsid w:val="0003659F"/>
    <w:rsid w:val="000432C3"/>
    <w:rsid w:val="00044460"/>
    <w:rsid w:val="00044B96"/>
    <w:rsid w:val="000455F8"/>
    <w:rsid w:val="00046BFD"/>
    <w:rsid w:val="000474F3"/>
    <w:rsid w:val="000507AE"/>
    <w:rsid w:val="00050EB2"/>
    <w:rsid w:val="000524C9"/>
    <w:rsid w:val="00052F2D"/>
    <w:rsid w:val="0005572A"/>
    <w:rsid w:val="0005625D"/>
    <w:rsid w:val="00061B16"/>
    <w:rsid w:val="000641F4"/>
    <w:rsid w:val="00067701"/>
    <w:rsid w:val="000705A5"/>
    <w:rsid w:val="000717F4"/>
    <w:rsid w:val="0007216D"/>
    <w:rsid w:val="0007298E"/>
    <w:rsid w:val="00072BAC"/>
    <w:rsid w:val="000738EA"/>
    <w:rsid w:val="00074570"/>
    <w:rsid w:val="0007581B"/>
    <w:rsid w:val="00076160"/>
    <w:rsid w:val="0008150A"/>
    <w:rsid w:val="00082BAD"/>
    <w:rsid w:val="0008344F"/>
    <w:rsid w:val="00085CC2"/>
    <w:rsid w:val="00086BBC"/>
    <w:rsid w:val="000917A9"/>
    <w:rsid w:val="000959F2"/>
    <w:rsid w:val="00095FE1"/>
    <w:rsid w:val="0009745D"/>
    <w:rsid w:val="000A255D"/>
    <w:rsid w:val="000A3B79"/>
    <w:rsid w:val="000A6BC4"/>
    <w:rsid w:val="000A77E9"/>
    <w:rsid w:val="000A7844"/>
    <w:rsid w:val="000B02D8"/>
    <w:rsid w:val="000B617B"/>
    <w:rsid w:val="000B6FB5"/>
    <w:rsid w:val="000C1E75"/>
    <w:rsid w:val="000C692D"/>
    <w:rsid w:val="000C73ED"/>
    <w:rsid w:val="000D0C56"/>
    <w:rsid w:val="000D2B07"/>
    <w:rsid w:val="000D4F03"/>
    <w:rsid w:val="000D6A88"/>
    <w:rsid w:val="000E0474"/>
    <w:rsid w:val="000E1CE2"/>
    <w:rsid w:val="000E3180"/>
    <w:rsid w:val="000E3E79"/>
    <w:rsid w:val="000E7DCC"/>
    <w:rsid w:val="000F00BC"/>
    <w:rsid w:val="000F0F55"/>
    <w:rsid w:val="000F0FD3"/>
    <w:rsid w:val="000F2478"/>
    <w:rsid w:val="000F3C8D"/>
    <w:rsid w:val="000F45BD"/>
    <w:rsid w:val="001012E5"/>
    <w:rsid w:val="00106CBF"/>
    <w:rsid w:val="00112469"/>
    <w:rsid w:val="00112C15"/>
    <w:rsid w:val="00116DE9"/>
    <w:rsid w:val="001211E0"/>
    <w:rsid w:val="00121262"/>
    <w:rsid w:val="0012371A"/>
    <w:rsid w:val="00130D93"/>
    <w:rsid w:val="00134879"/>
    <w:rsid w:val="00135346"/>
    <w:rsid w:val="00135622"/>
    <w:rsid w:val="00135CC4"/>
    <w:rsid w:val="00141349"/>
    <w:rsid w:val="001413C4"/>
    <w:rsid w:val="0014477C"/>
    <w:rsid w:val="00145C31"/>
    <w:rsid w:val="00146239"/>
    <w:rsid w:val="0015622C"/>
    <w:rsid w:val="00157953"/>
    <w:rsid w:val="00160285"/>
    <w:rsid w:val="0016443D"/>
    <w:rsid w:val="001646FB"/>
    <w:rsid w:val="0016571F"/>
    <w:rsid w:val="00165735"/>
    <w:rsid w:val="00165C8E"/>
    <w:rsid w:val="001700E5"/>
    <w:rsid w:val="00170356"/>
    <w:rsid w:val="0017041B"/>
    <w:rsid w:val="00170D7A"/>
    <w:rsid w:val="00171494"/>
    <w:rsid w:val="00171733"/>
    <w:rsid w:val="00171908"/>
    <w:rsid w:val="00172D53"/>
    <w:rsid w:val="001738C8"/>
    <w:rsid w:val="00174DCC"/>
    <w:rsid w:val="00175543"/>
    <w:rsid w:val="00177443"/>
    <w:rsid w:val="00177D4D"/>
    <w:rsid w:val="00181B63"/>
    <w:rsid w:val="0018564B"/>
    <w:rsid w:val="00186941"/>
    <w:rsid w:val="00186A60"/>
    <w:rsid w:val="00186C39"/>
    <w:rsid w:val="00186E4E"/>
    <w:rsid w:val="001913E4"/>
    <w:rsid w:val="00191500"/>
    <w:rsid w:val="00195783"/>
    <w:rsid w:val="00195DFA"/>
    <w:rsid w:val="00196116"/>
    <w:rsid w:val="001962B7"/>
    <w:rsid w:val="001A5C20"/>
    <w:rsid w:val="001A790D"/>
    <w:rsid w:val="001B071F"/>
    <w:rsid w:val="001B1AC8"/>
    <w:rsid w:val="001B25D7"/>
    <w:rsid w:val="001C002C"/>
    <w:rsid w:val="001C04FD"/>
    <w:rsid w:val="001C08D4"/>
    <w:rsid w:val="001C1344"/>
    <w:rsid w:val="001C1E7B"/>
    <w:rsid w:val="001C4A6C"/>
    <w:rsid w:val="001C6234"/>
    <w:rsid w:val="001C7956"/>
    <w:rsid w:val="001D0370"/>
    <w:rsid w:val="001D0964"/>
    <w:rsid w:val="001D136E"/>
    <w:rsid w:val="001D2CD7"/>
    <w:rsid w:val="001D3348"/>
    <w:rsid w:val="001D5833"/>
    <w:rsid w:val="001D6A4A"/>
    <w:rsid w:val="001D77A3"/>
    <w:rsid w:val="001D7AC1"/>
    <w:rsid w:val="001E2913"/>
    <w:rsid w:val="001E2B60"/>
    <w:rsid w:val="001E3D2E"/>
    <w:rsid w:val="001E428D"/>
    <w:rsid w:val="001E570F"/>
    <w:rsid w:val="001E6646"/>
    <w:rsid w:val="001F316B"/>
    <w:rsid w:val="001F48AC"/>
    <w:rsid w:val="001F54DF"/>
    <w:rsid w:val="001F72EC"/>
    <w:rsid w:val="00201705"/>
    <w:rsid w:val="00201944"/>
    <w:rsid w:val="00202C02"/>
    <w:rsid w:val="002036EC"/>
    <w:rsid w:val="00203F1C"/>
    <w:rsid w:val="00206331"/>
    <w:rsid w:val="00207349"/>
    <w:rsid w:val="00213923"/>
    <w:rsid w:val="00215C6E"/>
    <w:rsid w:val="0022266D"/>
    <w:rsid w:val="002226B3"/>
    <w:rsid w:val="00223586"/>
    <w:rsid w:val="00225F9D"/>
    <w:rsid w:val="002301F7"/>
    <w:rsid w:val="00230562"/>
    <w:rsid w:val="00230D5D"/>
    <w:rsid w:val="00231BD5"/>
    <w:rsid w:val="00232634"/>
    <w:rsid w:val="0023411A"/>
    <w:rsid w:val="002346AF"/>
    <w:rsid w:val="002347C6"/>
    <w:rsid w:val="00234D1A"/>
    <w:rsid w:val="00235BA8"/>
    <w:rsid w:val="00236C41"/>
    <w:rsid w:val="00240924"/>
    <w:rsid w:val="00241FBA"/>
    <w:rsid w:val="00242D45"/>
    <w:rsid w:val="00243300"/>
    <w:rsid w:val="00243DD8"/>
    <w:rsid w:val="00246B6E"/>
    <w:rsid w:val="002505C3"/>
    <w:rsid w:val="00252B3E"/>
    <w:rsid w:val="0025373C"/>
    <w:rsid w:val="002551A6"/>
    <w:rsid w:val="00255B5D"/>
    <w:rsid w:val="0026170D"/>
    <w:rsid w:val="0026618B"/>
    <w:rsid w:val="0026637A"/>
    <w:rsid w:val="00266E40"/>
    <w:rsid w:val="00273259"/>
    <w:rsid w:val="00277992"/>
    <w:rsid w:val="00280561"/>
    <w:rsid w:val="00280920"/>
    <w:rsid w:val="00282152"/>
    <w:rsid w:val="002822C3"/>
    <w:rsid w:val="00284A9D"/>
    <w:rsid w:val="00285035"/>
    <w:rsid w:val="0029206A"/>
    <w:rsid w:val="00292BD3"/>
    <w:rsid w:val="00295CC7"/>
    <w:rsid w:val="00296FF0"/>
    <w:rsid w:val="0029798B"/>
    <w:rsid w:val="002A0FA4"/>
    <w:rsid w:val="002A293E"/>
    <w:rsid w:val="002A2D42"/>
    <w:rsid w:val="002A2EF9"/>
    <w:rsid w:val="002A3DD8"/>
    <w:rsid w:val="002A55B4"/>
    <w:rsid w:val="002A5DBE"/>
    <w:rsid w:val="002A5F32"/>
    <w:rsid w:val="002B1324"/>
    <w:rsid w:val="002B1FE2"/>
    <w:rsid w:val="002B4352"/>
    <w:rsid w:val="002B6AB3"/>
    <w:rsid w:val="002B7CBE"/>
    <w:rsid w:val="002C2BCA"/>
    <w:rsid w:val="002C6CDB"/>
    <w:rsid w:val="002D0A8D"/>
    <w:rsid w:val="002D124C"/>
    <w:rsid w:val="002D2756"/>
    <w:rsid w:val="002D47AE"/>
    <w:rsid w:val="002D4A51"/>
    <w:rsid w:val="002D4DFB"/>
    <w:rsid w:val="002D5594"/>
    <w:rsid w:val="002D667E"/>
    <w:rsid w:val="002E0E7F"/>
    <w:rsid w:val="002E1278"/>
    <w:rsid w:val="002E1980"/>
    <w:rsid w:val="002E212C"/>
    <w:rsid w:val="002E238C"/>
    <w:rsid w:val="002E2767"/>
    <w:rsid w:val="002E478C"/>
    <w:rsid w:val="002E67E4"/>
    <w:rsid w:val="002F2EA6"/>
    <w:rsid w:val="002F58FB"/>
    <w:rsid w:val="002F7C12"/>
    <w:rsid w:val="00301D3C"/>
    <w:rsid w:val="0030235C"/>
    <w:rsid w:val="00302523"/>
    <w:rsid w:val="00302B6B"/>
    <w:rsid w:val="00306FDD"/>
    <w:rsid w:val="00307DA7"/>
    <w:rsid w:val="00307F4F"/>
    <w:rsid w:val="00313DC3"/>
    <w:rsid w:val="00317C0F"/>
    <w:rsid w:val="00317FB7"/>
    <w:rsid w:val="003211D2"/>
    <w:rsid w:val="0032139B"/>
    <w:rsid w:val="003221A2"/>
    <w:rsid w:val="003222D6"/>
    <w:rsid w:val="00322BF6"/>
    <w:rsid w:val="00323561"/>
    <w:rsid w:val="00324CEA"/>
    <w:rsid w:val="00327120"/>
    <w:rsid w:val="003303C8"/>
    <w:rsid w:val="0033040D"/>
    <w:rsid w:val="003312D8"/>
    <w:rsid w:val="00334C13"/>
    <w:rsid w:val="00336308"/>
    <w:rsid w:val="00337340"/>
    <w:rsid w:val="00340B7E"/>
    <w:rsid w:val="0034390B"/>
    <w:rsid w:val="003459BF"/>
    <w:rsid w:val="00346D0A"/>
    <w:rsid w:val="0035257C"/>
    <w:rsid w:val="00353AB6"/>
    <w:rsid w:val="00353B2D"/>
    <w:rsid w:val="00357ECF"/>
    <w:rsid w:val="00364CB3"/>
    <w:rsid w:val="00366785"/>
    <w:rsid w:val="003708F9"/>
    <w:rsid w:val="00371DBE"/>
    <w:rsid w:val="00372501"/>
    <w:rsid w:val="0037383C"/>
    <w:rsid w:val="00373C21"/>
    <w:rsid w:val="003817DB"/>
    <w:rsid w:val="00381849"/>
    <w:rsid w:val="00382A7C"/>
    <w:rsid w:val="00382D7A"/>
    <w:rsid w:val="00385CA5"/>
    <w:rsid w:val="00387FF5"/>
    <w:rsid w:val="003905B0"/>
    <w:rsid w:val="00390A92"/>
    <w:rsid w:val="00396287"/>
    <w:rsid w:val="003A0CDF"/>
    <w:rsid w:val="003A38F5"/>
    <w:rsid w:val="003A4388"/>
    <w:rsid w:val="003A5344"/>
    <w:rsid w:val="003A53D5"/>
    <w:rsid w:val="003B4AFF"/>
    <w:rsid w:val="003B4D4A"/>
    <w:rsid w:val="003C5577"/>
    <w:rsid w:val="003C6100"/>
    <w:rsid w:val="003C7847"/>
    <w:rsid w:val="003D088D"/>
    <w:rsid w:val="003D1334"/>
    <w:rsid w:val="003D1B52"/>
    <w:rsid w:val="003D3AD2"/>
    <w:rsid w:val="003D5B5B"/>
    <w:rsid w:val="003D5D80"/>
    <w:rsid w:val="003D66DD"/>
    <w:rsid w:val="003D74F7"/>
    <w:rsid w:val="003D788E"/>
    <w:rsid w:val="003E0571"/>
    <w:rsid w:val="003E0EED"/>
    <w:rsid w:val="003E251E"/>
    <w:rsid w:val="003E46CB"/>
    <w:rsid w:val="003E5602"/>
    <w:rsid w:val="003E596E"/>
    <w:rsid w:val="003E5D3A"/>
    <w:rsid w:val="003E7393"/>
    <w:rsid w:val="003F0B95"/>
    <w:rsid w:val="003F1919"/>
    <w:rsid w:val="003F2255"/>
    <w:rsid w:val="003F5050"/>
    <w:rsid w:val="003F6569"/>
    <w:rsid w:val="00400030"/>
    <w:rsid w:val="004006DA"/>
    <w:rsid w:val="0040071D"/>
    <w:rsid w:val="0040256E"/>
    <w:rsid w:val="00402780"/>
    <w:rsid w:val="00404A5D"/>
    <w:rsid w:val="004067BF"/>
    <w:rsid w:val="00415B89"/>
    <w:rsid w:val="0042066A"/>
    <w:rsid w:val="00424518"/>
    <w:rsid w:val="00424D5D"/>
    <w:rsid w:val="00425000"/>
    <w:rsid w:val="004254A6"/>
    <w:rsid w:val="00430842"/>
    <w:rsid w:val="00431F52"/>
    <w:rsid w:val="004344FE"/>
    <w:rsid w:val="00434E30"/>
    <w:rsid w:val="004356E1"/>
    <w:rsid w:val="004360F8"/>
    <w:rsid w:val="004378B5"/>
    <w:rsid w:val="00442929"/>
    <w:rsid w:val="004431D4"/>
    <w:rsid w:val="00444EFA"/>
    <w:rsid w:val="0045245D"/>
    <w:rsid w:val="00452C44"/>
    <w:rsid w:val="004536A1"/>
    <w:rsid w:val="00455180"/>
    <w:rsid w:val="00455333"/>
    <w:rsid w:val="004553C9"/>
    <w:rsid w:val="00456F5A"/>
    <w:rsid w:val="0045743E"/>
    <w:rsid w:val="004579C9"/>
    <w:rsid w:val="00465ACC"/>
    <w:rsid w:val="00465EB3"/>
    <w:rsid w:val="00467444"/>
    <w:rsid w:val="004701DA"/>
    <w:rsid w:val="0047323B"/>
    <w:rsid w:val="00473F50"/>
    <w:rsid w:val="00474C0F"/>
    <w:rsid w:val="004816DA"/>
    <w:rsid w:val="004818D8"/>
    <w:rsid w:val="00482E88"/>
    <w:rsid w:val="00483D42"/>
    <w:rsid w:val="004853C0"/>
    <w:rsid w:val="00487681"/>
    <w:rsid w:val="00487B57"/>
    <w:rsid w:val="00487C2D"/>
    <w:rsid w:val="0049084E"/>
    <w:rsid w:val="00490EE4"/>
    <w:rsid w:val="00492F56"/>
    <w:rsid w:val="00493BEA"/>
    <w:rsid w:val="00497E0F"/>
    <w:rsid w:val="004A51A3"/>
    <w:rsid w:val="004A52D7"/>
    <w:rsid w:val="004A6AD4"/>
    <w:rsid w:val="004A777D"/>
    <w:rsid w:val="004B0C35"/>
    <w:rsid w:val="004B1617"/>
    <w:rsid w:val="004B1908"/>
    <w:rsid w:val="004B2118"/>
    <w:rsid w:val="004B4C4D"/>
    <w:rsid w:val="004B6B4D"/>
    <w:rsid w:val="004B6EC6"/>
    <w:rsid w:val="004B6ED9"/>
    <w:rsid w:val="004C01EF"/>
    <w:rsid w:val="004C096B"/>
    <w:rsid w:val="004C2BB9"/>
    <w:rsid w:val="004C6FD2"/>
    <w:rsid w:val="004D22D3"/>
    <w:rsid w:val="004D2D5C"/>
    <w:rsid w:val="004D3F14"/>
    <w:rsid w:val="004D6C6E"/>
    <w:rsid w:val="004D7E82"/>
    <w:rsid w:val="004E1DF4"/>
    <w:rsid w:val="004E25B0"/>
    <w:rsid w:val="004E284D"/>
    <w:rsid w:val="004E414D"/>
    <w:rsid w:val="004E4735"/>
    <w:rsid w:val="004E4F5F"/>
    <w:rsid w:val="004E671B"/>
    <w:rsid w:val="004E72DD"/>
    <w:rsid w:val="004F2DF3"/>
    <w:rsid w:val="004F3D18"/>
    <w:rsid w:val="004F4086"/>
    <w:rsid w:val="004F5C85"/>
    <w:rsid w:val="005003DF"/>
    <w:rsid w:val="00503844"/>
    <w:rsid w:val="00503DB4"/>
    <w:rsid w:val="00505021"/>
    <w:rsid w:val="00506B53"/>
    <w:rsid w:val="00507022"/>
    <w:rsid w:val="00507618"/>
    <w:rsid w:val="00514D35"/>
    <w:rsid w:val="005170CD"/>
    <w:rsid w:val="00521B05"/>
    <w:rsid w:val="005252D1"/>
    <w:rsid w:val="00526890"/>
    <w:rsid w:val="005279F4"/>
    <w:rsid w:val="00530333"/>
    <w:rsid w:val="0053064C"/>
    <w:rsid w:val="005318D6"/>
    <w:rsid w:val="00532E57"/>
    <w:rsid w:val="00533C58"/>
    <w:rsid w:val="00534208"/>
    <w:rsid w:val="00534BF1"/>
    <w:rsid w:val="00535F2C"/>
    <w:rsid w:val="0053607A"/>
    <w:rsid w:val="00537B64"/>
    <w:rsid w:val="005424F2"/>
    <w:rsid w:val="00543A6B"/>
    <w:rsid w:val="0054514C"/>
    <w:rsid w:val="00545FB5"/>
    <w:rsid w:val="00546E60"/>
    <w:rsid w:val="005505DD"/>
    <w:rsid w:val="005546D6"/>
    <w:rsid w:val="005553B2"/>
    <w:rsid w:val="005563AA"/>
    <w:rsid w:val="0055674E"/>
    <w:rsid w:val="00562FBF"/>
    <w:rsid w:val="005652DC"/>
    <w:rsid w:val="00565448"/>
    <w:rsid w:val="00570DAC"/>
    <w:rsid w:val="00574101"/>
    <w:rsid w:val="00582F41"/>
    <w:rsid w:val="0058383C"/>
    <w:rsid w:val="00584117"/>
    <w:rsid w:val="0058500E"/>
    <w:rsid w:val="005875FF"/>
    <w:rsid w:val="005908CD"/>
    <w:rsid w:val="005916BE"/>
    <w:rsid w:val="00592266"/>
    <w:rsid w:val="0059344C"/>
    <w:rsid w:val="005940E4"/>
    <w:rsid w:val="00596156"/>
    <w:rsid w:val="005A159E"/>
    <w:rsid w:val="005A2300"/>
    <w:rsid w:val="005B09E3"/>
    <w:rsid w:val="005B0FA3"/>
    <w:rsid w:val="005B1466"/>
    <w:rsid w:val="005B236E"/>
    <w:rsid w:val="005B54FA"/>
    <w:rsid w:val="005B696F"/>
    <w:rsid w:val="005B6BF5"/>
    <w:rsid w:val="005B7E02"/>
    <w:rsid w:val="005C4470"/>
    <w:rsid w:val="005C5B05"/>
    <w:rsid w:val="005C6551"/>
    <w:rsid w:val="005D20E8"/>
    <w:rsid w:val="005D46B4"/>
    <w:rsid w:val="005D6FF3"/>
    <w:rsid w:val="005D7577"/>
    <w:rsid w:val="005E0AEA"/>
    <w:rsid w:val="005E18F4"/>
    <w:rsid w:val="005E19BA"/>
    <w:rsid w:val="005E19FF"/>
    <w:rsid w:val="005E44A5"/>
    <w:rsid w:val="005E5473"/>
    <w:rsid w:val="005E578C"/>
    <w:rsid w:val="005E5D7A"/>
    <w:rsid w:val="005E5E17"/>
    <w:rsid w:val="005E6CE9"/>
    <w:rsid w:val="005E71E4"/>
    <w:rsid w:val="005E7A22"/>
    <w:rsid w:val="005F3F4F"/>
    <w:rsid w:val="005F5815"/>
    <w:rsid w:val="005F6AEE"/>
    <w:rsid w:val="005F7ED4"/>
    <w:rsid w:val="006000A5"/>
    <w:rsid w:val="00602353"/>
    <w:rsid w:val="006034ED"/>
    <w:rsid w:val="00603812"/>
    <w:rsid w:val="006054BA"/>
    <w:rsid w:val="0060578B"/>
    <w:rsid w:val="00605A95"/>
    <w:rsid w:val="00605BAE"/>
    <w:rsid w:val="006069B4"/>
    <w:rsid w:val="006069CF"/>
    <w:rsid w:val="0061022C"/>
    <w:rsid w:val="00611D45"/>
    <w:rsid w:val="00612319"/>
    <w:rsid w:val="00613A0D"/>
    <w:rsid w:val="006144F0"/>
    <w:rsid w:val="00614D93"/>
    <w:rsid w:val="0061642E"/>
    <w:rsid w:val="0062220B"/>
    <w:rsid w:val="0062275D"/>
    <w:rsid w:val="00624CC1"/>
    <w:rsid w:val="00626AB0"/>
    <w:rsid w:val="006301AE"/>
    <w:rsid w:val="006339D0"/>
    <w:rsid w:val="00635040"/>
    <w:rsid w:val="00636FBE"/>
    <w:rsid w:val="00640582"/>
    <w:rsid w:val="00640774"/>
    <w:rsid w:val="006412CE"/>
    <w:rsid w:val="006434F3"/>
    <w:rsid w:val="0064584F"/>
    <w:rsid w:val="00646638"/>
    <w:rsid w:val="00647F78"/>
    <w:rsid w:val="00651D5C"/>
    <w:rsid w:val="00651F67"/>
    <w:rsid w:val="00654FCC"/>
    <w:rsid w:val="00660F33"/>
    <w:rsid w:val="00662468"/>
    <w:rsid w:val="00664EE4"/>
    <w:rsid w:val="00665101"/>
    <w:rsid w:val="0066584A"/>
    <w:rsid w:val="006658EB"/>
    <w:rsid w:val="00671A5B"/>
    <w:rsid w:val="006721AD"/>
    <w:rsid w:val="00674CB7"/>
    <w:rsid w:val="006800BE"/>
    <w:rsid w:val="00685BF6"/>
    <w:rsid w:val="00686D0D"/>
    <w:rsid w:val="00690C14"/>
    <w:rsid w:val="00690FDA"/>
    <w:rsid w:val="00691948"/>
    <w:rsid w:val="0069288C"/>
    <w:rsid w:val="0069562E"/>
    <w:rsid w:val="00697E2A"/>
    <w:rsid w:val="006A16DF"/>
    <w:rsid w:val="006A2EDD"/>
    <w:rsid w:val="006A499E"/>
    <w:rsid w:val="006A4C60"/>
    <w:rsid w:val="006A53B3"/>
    <w:rsid w:val="006A548C"/>
    <w:rsid w:val="006A6BB5"/>
    <w:rsid w:val="006A6F4A"/>
    <w:rsid w:val="006B2212"/>
    <w:rsid w:val="006B3298"/>
    <w:rsid w:val="006B3EB9"/>
    <w:rsid w:val="006B7E9C"/>
    <w:rsid w:val="006C102C"/>
    <w:rsid w:val="006C2445"/>
    <w:rsid w:val="006C5029"/>
    <w:rsid w:val="006C62C0"/>
    <w:rsid w:val="006C65E2"/>
    <w:rsid w:val="006C6FC8"/>
    <w:rsid w:val="006C753F"/>
    <w:rsid w:val="006D0BB5"/>
    <w:rsid w:val="006D1539"/>
    <w:rsid w:val="006D1A53"/>
    <w:rsid w:val="006D3A0E"/>
    <w:rsid w:val="006D6D55"/>
    <w:rsid w:val="006D73A3"/>
    <w:rsid w:val="006E024A"/>
    <w:rsid w:val="006E02B3"/>
    <w:rsid w:val="006E13A6"/>
    <w:rsid w:val="006E2938"/>
    <w:rsid w:val="006E36DA"/>
    <w:rsid w:val="006E677A"/>
    <w:rsid w:val="006E7598"/>
    <w:rsid w:val="006E77C7"/>
    <w:rsid w:val="006F1E5C"/>
    <w:rsid w:val="006F435D"/>
    <w:rsid w:val="006F4C1C"/>
    <w:rsid w:val="006F7D43"/>
    <w:rsid w:val="00700514"/>
    <w:rsid w:val="00702590"/>
    <w:rsid w:val="00703EDE"/>
    <w:rsid w:val="007053C8"/>
    <w:rsid w:val="00710861"/>
    <w:rsid w:val="00711321"/>
    <w:rsid w:val="00711D15"/>
    <w:rsid w:val="00713595"/>
    <w:rsid w:val="00714E7A"/>
    <w:rsid w:val="007163AF"/>
    <w:rsid w:val="0071720D"/>
    <w:rsid w:val="0072316D"/>
    <w:rsid w:val="00723C79"/>
    <w:rsid w:val="00723FC8"/>
    <w:rsid w:val="0072408C"/>
    <w:rsid w:val="0072476D"/>
    <w:rsid w:val="0073141E"/>
    <w:rsid w:val="007326F0"/>
    <w:rsid w:val="0073454D"/>
    <w:rsid w:val="00737378"/>
    <w:rsid w:val="007404ED"/>
    <w:rsid w:val="00740713"/>
    <w:rsid w:val="00740E42"/>
    <w:rsid w:val="007425E3"/>
    <w:rsid w:val="007468A3"/>
    <w:rsid w:val="007469B8"/>
    <w:rsid w:val="00753B68"/>
    <w:rsid w:val="00753FDC"/>
    <w:rsid w:val="00754B64"/>
    <w:rsid w:val="00757C1A"/>
    <w:rsid w:val="00760851"/>
    <w:rsid w:val="00764781"/>
    <w:rsid w:val="0076622C"/>
    <w:rsid w:val="007668CB"/>
    <w:rsid w:val="00771305"/>
    <w:rsid w:val="007715F9"/>
    <w:rsid w:val="00771641"/>
    <w:rsid w:val="0077188F"/>
    <w:rsid w:val="007719D7"/>
    <w:rsid w:val="00772825"/>
    <w:rsid w:val="007735A6"/>
    <w:rsid w:val="00775064"/>
    <w:rsid w:val="00775CA9"/>
    <w:rsid w:val="00777668"/>
    <w:rsid w:val="007778F4"/>
    <w:rsid w:val="00777F51"/>
    <w:rsid w:val="007831E6"/>
    <w:rsid w:val="007834C1"/>
    <w:rsid w:val="00786EEC"/>
    <w:rsid w:val="0079167A"/>
    <w:rsid w:val="007943C2"/>
    <w:rsid w:val="00795504"/>
    <w:rsid w:val="007970DC"/>
    <w:rsid w:val="007A2152"/>
    <w:rsid w:val="007A2DC7"/>
    <w:rsid w:val="007A40B2"/>
    <w:rsid w:val="007A5ADA"/>
    <w:rsid w:val="007A5D2B"/>
    <w:rsid w:val="007B0A61"/>
    <w:rsid w:val="007B19BB"/>
    <w:rsid w:val="007B2936"/>
    <w:rsid w:val="007B7DCB"/>
    <w:rsid w:val="007B7FEC"/>
    <w:rsid w:val="007C0BCD"/>
    <w:rsid w:val="007C4D18"/>
    <w:rsid w:val="007C53BA"/>
    <w:rsid w:val="007C58E7"/>
    <w:rsid w:val="007C68AD"/>
    <w:rsid w:val="007C6E20"/>
    <w:rsid w:val="007D1525"/>
    <w:rsid w:val="007D1C14"/>
    <w:rsid w:val="007D2CC8"/>
    <w:rsid w:val="007D747B"/>
    <w:rsid w:val="007D7615"/>
    <w:rsid w:val="007D792E"/>
    <w:rsid w:val="007E0120"/>
    <w:rsid w:val="007E1A2D"/>
    <w:rsid w:val="007E2B32"/>
    <w:rsid w:val="007E2CCD"/>
    <w:rsid w:val="007E2E9E"/>
    <w:rsid w:val="007E329D"/>
    <w:rsid w:val="007E3D9A"/>
    <w:rsid w:val="007E439C"/>
    <w:rsid w:val="007E7BCE"/>
    <w:rsid w:val="007F075A"/>
    <w:rsid w:val="007F2E77"/>
    <w:rsid w:val="007F349A"/>
    <w:rsid w:val="007F52D6"/>
    <w:rsid w:val="007F6003"/>
    <w:rsid w:val="0080234F"/>
    <w:rsid w:val="008029D4"/>
    <w:rsid w:val="00802AE1"/>
    <w:rsid w:val="0080339A"/>
    <w:rsid w:val="008047CD"/>
    <w:rsid w:val="00812C76"/>
    <w:rsid w:val="00813301"/>
    <w:rsid w:val="00821150"/>
    <w:rsid w:val="00821E2B"/>
    <w:rsid w:val="00821EAE"/>
    <w:rsid w:val="008224E4"/>
    <w:rsid w:val="008260B3"/>
    <w:rsid w:val="00826C39"/>
    <w:rsid w:val="00831A03"/>
    <w:rsid w:val="00831AF8"/>
    <w:rsid w:val="00831D3B"/>
    <w:rsid w:val="00832170"/>
    <w:rsid w:val="00832327"/>
    <w:rsid w:val="00837002"/>
    <w:rsid w:val="00840855"/>
    <w:rsid w:val="00840B57"/>
    <w:rsid w:val="0084306D"/>
    <w:rsid w:val="0084557C"/>
    <w:rsid w:val="00847288"/>
    <w:rsid w:val="008473D1"/>
    <w:rsid w:val="00850109"/>
    <w:rsid w:val="00852A58"/>
    <w:rsid w:val="008540B7"/>
    <w:rsid w:val="0085659A"/>
    <w:rsid w:val="00856A40"/>
    <w:rsid w:val="0086040C"/>
    <w:rsid w:val="008607D2"/>
    <w:rsid w:val="00862672"/>
    <w:rsid w:val="00862DB4"/>
    <w:rsid w:val="00866E84"/>
    <w:rsid w:val="00867DDE"/>
    <w:rsid w:val="00867FB7"/>
    <w:rsid w:val="00872C98"/>
    <w:rsid w:val="00874B17"/>
    <w:rsid w:val="008760F0"/>
    <w:rsid w:val="0088327D"/>
    <w:rsid w:val="0088391B"/>
    <w:rsid w:val="008841B1"/>
    <w:rsid w:val="00884751"/>
    <w:rsid w:val="00885465"/>
    <w:rsid w:val="0088588D"/>
    <w:rsid w:val="00890BA9"/>
    <w:rsid w:val="00893200"/>
    <w:rsid w:val="0089475E"/>
    <w:rsid w:val="0089515E"/>
    <w:rsid w:val="00896EEA"/>
    <w:rsid w:val="00896F0A"/>
    <w:rsid w:val="008A099E"/>
    <w:rsid w:val="008A222A"/>
    <w:rsid w:val="008A27A0"/>
    <w:rsid w:val="008A336C"/>
    <w:rsid w:val="008A4CE7"/>
    <w:rsid w:val="008A59B9"/>
    <w:rsid w:val="008A5A6E"/>
    <w:rsid w:val="008A6083"/>
    <w:rsid w:val="008A6191"/>
    <w:rsid w:val="008B042E"/>
    <w:rsid w:val="008B047E"/>
    <w:rsid w:val="008B0AA7"/>
    <w:rsid w:val="008B2F3B"/>
    <w:rsid w:val="008B3036"/>
    <w:rsid w:val="008B3111"/>
    <w:rsid w:val="008B3A9B"/>
    <w:rsid w:val="008B46B9"/>
    <w:rsid w:val="008B676F"/>
    <w:rsid w:val="008B7197"/>
    <w:rsid w:val="008C0021"/>
    <w:rsid w:val="008C1976"/>
    <w:rsid w:val="008C28E4"/>
    <w:rsid w:val="008C437B"/>
    <w:rsid w:val="008C4A39"/>
    <w:rsid w:val="008C4DED"/>
    <w:rsid w:val="008D2676"/>
    <w:rsid w:val="008D5496"/>
    <w:rsid w:val="008D7885"/>
    <w:rsid w:val="008D7DE3"/>
    <w:rsid w:val="008D7DE4"/>
    <w:rsid w:val="008E0E4C"/>
    <w:rsid w:val="008E437C"/>
    <w:rsid w:val="008E4933"/>
    <w:rsid w:val="008E53C9"/>
    <w:rsid w:val="008E5C76"/>
    <w:rsid w:val="008E674E"/>
    <w:rsid w:val="008E6929"/>
    <w:rsid w:val="008E6DEA"/>
    <w:rsid w:val="008F09A7"/>
    <w:rsid w:val="008F417F"/>
    <w:rsid w:val="008F6419"/>
    <w:rsid w:val="008F644E"/>
    <w:rsid w:val="008F69F1"/>
    <w:rsid w:val="00903927"/>
    <w:rsid w:val="0090521A"/>
    <w:rsid w:val="00910020"/>
    <w:rsid w:val="00910DFE"/>
    <w:rsid w:val="00911196"/>
    <w:rsid w:val="0091170F"/>
    <w:rsid w:val="00913101"/>
    <w:rsid w:val="009173FE"/>
    <w:rsid w:val="009213C2"/>
    <w:rsid w:val="009214BE"/>
    <w:rsid w:val="00921E9C"/>
    <w:rsid w:val="00922D66"/>
    <w:rsid w:val="00923DF2"/>
    <w:rsid w:val="00923F72"/>
    <w:rsid w:val="00925D41"/>
    <w:rsid w:val="00927F2C"/>
    <w:rsid w:val="0093035B"/>
    <w:rsid w:val="00931B67"/>
    <w:rsid w:val="00931E23"/>
    <w:rsid w:val="00931F63"/>
    <w:rsid w:val="00935878"/>
    <w:rsid w:val="00937DD9"/>
    <w:rsid w:val="0094045D"/>
    <w:rsid w:val="0094167F"/>
    <w:rsid w:val="0094386D"/>
    <w:rsid w:val="00946640"/>
    <w:rsid w:val="0095090A"/>
    <w:rsid w:val="00951477"/>
    <w:rsid w:val="00951DFE"/>
    <w:rsid w:val="00952405"/>
    <w:rsid w:val="0095323D"/>
    <w:rsid w:val="00956A89"/>
    <w:rsid w:val="00956A9B"/>
    <w:rsid w:val="00957966"/>
    <w:rsid w:val="009605D9"/>
    <w:rsid w:val="009606C7"/>
    <w:rsid w:val="00970EC2"/>
    <w:rsid w:val="009710D1"/>
    <w:rsid w:val="0097325C"/>
    <w:rsid w:val="0097388D"/>
    <w:rsid w:val="00974A98"/>
    <w:rsid w:val="00975F1C"/>
    <w:rsid w:val="009819A6"/>
    <w:rsid w:val="00981C09"/>
    <w:rsid w:val="0098232C"/>
    <w:rsid w:val="009838C9"/>
    <w:rsid w:val="00983D2D"/>
    <w:rsid w:val="00984D7B"/>
    <w:rsid w:val="00985103"/>
    <w:rsid w:val="009868C1"/>
    <w:rsid w:val="00986996"/>
    <w:rsid w:val="0099198D"/>
    <w:rsid w:val="00991DB3"/>
    <w:rsid w:val="00994DC4"/>
    <w:rsid w:val="009A01A3"/>
    <w:rsid w:val="009A080E"/>
    <w:rsid w:val="009A249A"/>
    <w:rsid w:val="009A2C86"/>
    <w:rsid w:val="009A38C0"/>
    <w:rsid w:val="009A6E65"/>
    <w:rsid w:val="009B273C"/>
    <w:rsid w:val="009B4192"/>
    <w:rsid w:val="009B5D2D"/>
    <w:rsid w:val="009B777C"/>
    <w:rsid w:val="009C11B0"/>
    <w:rsid w:val="009C193E"/>
    <w:rsid w:val="009C2F4F"/>
    <w:rsid w:val="009C3BD7"/>
    <w:rsid w:val="009C4714"/>
    <w:rsid w:val="009C68A7"/>
    <w:rsid w:val="009C6DAA"/>
    <w:rsid w:val="009C7265"/>
    <w:rsid w:val="009D4C53"/>
    <w:rsid w:val="009D65BA"/>
    <w:rsid w:val="009D6805"/>
    <w:rsid w:val="009D6A35"/>
    <w:rsid w:val="009D6EDC"/>
    <w:rsid w:val="009E0482"/>
    <w:rsid w:val="009E0D95"/>
    <w:rsid w:val="009E1C03"/>
    <w:rsid w:val="009E3943"/>
    <w:rsid w:val="009E3E3A"/>
    <w:rsid w:val="009E6AF9"/>
    <w:rsid w:val="009E7B4C"/>
    <w:rsid w:val="009F046C"/>
    <w:rsid w:val="009F31A5"/>
    <w:rsid w:val="009F3937"/>
    <w:rsid w:val="009F3C6F"/>
    <w:rsid w:val="009F4F27"/>
    <w:rsid w:val="009F6C47"/>
    <w:rsid w:val="00A00459"/>
    <w:rsid w:val="00A00B23"/>
    <w:rsid w:val="00A049DF"/>
    <w:rsid w:val="00A147A8"/>
    <w:rsid w:val="00A20AC7"/>
    <w:rsid w:val="00A26BBA"/>
    <w:rsid w:val="00A3289A"/>
    <w:rsid w:val="00A3435D"/>
    <w:rsid w:val="00A3463B"/>
    <w:rsid w:val="00A35459"/>
    <w:rsid w:val="00A40CCE"/>
    <w:rsid w:val="00A41582"/>
    <w:rsid w:val="00A42A81"/>
    <w:rsid w:val="00A43A8B"/>
    <w:rsid w:val="00A52C90"/>
    <w:rsid w:val="00A52D89"/>
    <w:rsid w:val="00A533D6"/>
    <w:rsid w:val="00A54126"/>
    <w:rsid w:val="00A54F42"/>
    <w:rsid w:val="00A55301"/>
    <w:rsid w:val="00A56CE6"/>
    <w:rsid w:val="00A56DCF"/>
    <w:rsid w:val="00A57766"/>
    <w:rsid w:val="00A64723"/>
    <w:rsid w:val="00A65C62"/>
    <w:rsid w:val="00A673DF"/>
    <w:rsid w:val="00A7094D"/>
    <w:rsid w:val="00A73E98"/>
    <w:rsid w:val="00A74376"/>
    <w:rsid w:val="00A7440F"/>
    <w:rsid w:val="00A75B34"/>
    <w:rsid w:val="00A81A13"/>
    <w:rsid w:val="00A81BAF"/>
    <w:rsid w:val="00A84C5D"/>
    <w:rsid w:val="00A8583B"/>
    <w:rsid w:val="00A85D9D"/>
    <w:rsid w:val="00A901F4"/>
    <w:rsid w:val="00A9237A"/>
    <w:rsid w:val="00A92C03"/>
    <w:rsid w:val="00A95E1B"/>
    <w:rsid w:val="00AA1E92"/>
    <w:rsid w:val="00AA2F1A"/>
    <w:rsid w:val="00AA5614"/>
    <w:rsid w:val="00AB2D3D"/>
    <w:rsid w:val="00AB5388"/>
    <w:rsid w:val="00AC0FF7"/>
    <w:rsid w:val="00AC2800"/>
    <w:rsid w:val="00AC2B1D"/>
    <w:rsid w:val="00AC3B18"/>
    <w:rsid w:val="00AC4CE3"/>
    <w:rsid w:val="00AD09FF"/>
    <w:rsid w:val="00AD12AB"/>
    <w:rsid w:val="00AE188B"/>
    <w:rsid w:val="00AE7437"/>
    <w:rsid w:val="00AF0345"/>
    <w:rsid w:val="00AF1C0D"/>
    <w:rsid w:val="00AF2417"/>
    <w:rsid w:val="00AF52CF"/>
    <w:rsid w:val="00AF55A4"/>
    <w:rsid w:val="00AF5A4D"/>
    <w:rsid w:val="00AF6C3D"/>
    <w:rsid w:val="00AF6D5E"/>
    <w:rsid w:val="00AF742A"/>
    <w:rsid w:val="00AF7641"/>
    <w:rsid w:val="00B0098A"/>
    <w:rsid w:val="00B023AD"/>
    <w:rsid w:val="00B02DE4"/>
    <w:rsid w:val="00B0666E"/>
    <w:rsid w:val="00B06F31"/>
    <w:rsid w:val="00B10B45"/>
    <w:rsid w:val="00B1150A"/>
    <w:rsid w:val="00B11822"/>
    <w:rsid w:val="00B12D5A"/>
    <w:rsid w:val="00B166EB"/>
    <w:rsid w:val="00B20709"/>
    <w:rsid w:val="00B2242E"/>
    <w:rsid w:val="00B23DFB"/>
    <w:rsid w:val="00B24223"/>
    <w:rsid w:val="00B250EE"/>
    <w:rsid w:val="00B25292"/>
    <w:rsid w:val="00B25741"/>
    <w:rsid w:val="00B25A1B"/>
    <w:rsid w:val="00B30857"/>
    <w:rsid w:val="00B308AC"/>
    <w:rsid w:val="00B31812"/>
    <w:rsid w:val="00B3484C"/>
    <w:rsid w:val="00B34E68"/>
    <w:rsid w:val="00B4550D"/>
    <w:rsid w:val="00B467D1"/>
    <w:rsid w:val="00B5185F"/>
    <w:rsid w:val="00B51D97"/>
    <w:rsid w:val="00B52646"/>
    <w:rsid w:val="00B52AF4"/>
    <w:rsid w:val="00B5302B"/>
    <w:rsid w:val="00B55FBB"/>
    <w:rsid w:val="00B619B7"/>
    <w:rsid w:val="00B63AC4"/>
    <w:rsid w:val="00B65B6B"/>
    <w:rsid w:val="00B669BC"/>
    <w:rsid w:val="00B708EB"/>
    <w:rsid w:val="00B7506B"/>
    <w:rsid w:val="00B75E22"/>
    <w:rsid w:val="00B76185"/>
    <w:rsid w:val="00B76956"/>
    <w:rsid w:val="00B77457"/>
    <w:rsid w:val="00B805DD"/>
    <w:rsid w:val="00B814B9"/>
    <w:rsid w:val="00B816A8"/>
    <w:rsid w:val="00B84D33"/>
    <w:rsid w:val="00B851E8"/>
    <w:rsid w:val="00B85DE3"/>
    <w:rsid w:val="00B91602"/>
    <w:rsid w:val="00B919BA"/>
    <w:rsid w:val="00B92747"/>
    <w:rsid w:val="00B9360E"/>
    <w:rsid w:val="00B93BB0"/>
    <w:rsid w:val="00B9475D"/>
    <w:rsid w:val="00B94A58"/>
    <w:rsid w:val="00B977B8"/>
    <w:rsid w:val="00BA0084"/>
    <w:rsid w:val="00BA0B64"/>
    <w:rsid w:val="00BA1A2F"/>
    <w:rsid w:val="00BB0274"/>
    <w:rsid w:val="00BB27C9"/>
    <w:rsid w:val="00BB375D"/>
    <w:rsid w:val="00BB4054"/>
    <w:rsid w:val="00BB4832"/>
    <w:rsid w:val="00BB5E47"/>
    <w:rsid w:val="00BB677D"/>
    <w:rsid w:val="00BB6CAC"/>
    <w:rsid w:val="00BC03A1"/>
    <w:rsid w:val="00BC0F67"/>
    <w:rsid w:val="00BC12C7"/>
    <w:rsid w:val="00BD0355"/>
    <w:rsid w:val="00BD08C9"/>
    <w:rsid w:val="00BD178A"/>
    <w:rsid w:val="00BD1EEB"/>
    <w:rsid w:val="00BD242F"/>
    <w:rsid w:val="00BD2B73"/>
    <w:rsid w:val="00BD33C5"/>
    <w:rsid w:val="00BD6C64"/>
    <w:rsid w:val="00BD7204"/>
    <w:rsid w:val="00BD7231"/>
    <w:rsid w:val="00BD7E19"/>
    <w:rsid w:val="00BE7C4F"/>
    <w:rsid w:val="00BF10A8"/>
    <w:rsid w:val="00BF1A6E"/>
    <w:rsid w:val="00BF1E80"/>
    <w:rsid w:val="00BF1F7A"/>
    <w:rsid w:val="00BF2A6B"/>
    <w:rsid w:val="00BF2CB8"/>
    <w:rsid w:val="00BF2F15"/>
    <w:rsid w:val="00C01EAF"/>
    <w:rsid w:val="00C02FE3"/>
    <w:rsid w:val="00C034A1"/>
    <w:rsid w:val="00C05E67"/>
    <w:rsid w:val="00C113F4"/>
    <w:rsid w:val="00C116D4"/>
    <w:rsid w:val="00C13BBF"/>
    <w:rsid w:val="00C15A50"/>
    <w:rsid w:val="00C16344"/>
    <w:rsid w:val="00C20004"/>
    <w:rsid w:val="00C20EDF"/>
    <w:rsid w:val="00C218AA"/>
    <w:rsid w:val="00C2379B"/>
    <w:rsid w:val="00C23A1F"/>
    <w:rsid w:val="00C24492"/>
    <w:rsid w:val="00C24673"/>
    <w:rsid w:val="00C248AF"/>
    <w:rsid w:val="00C2600C"/>
    <w:rsid w:val="00C30207"/>
    <w:rsid w:val="00C30791"/>
    <w:rsid w:val="00C30CE5"/>
    <w:rsid w:val="00C31ED6"/>
    <w:rsid w:val="00C32A5F"/>
    <w:rsid w:val="00C34954"/>
    <w:rsid w:val="00C35A64"/>
    <w:rsid w:val="00C35F9E"/>
    <w:rsid w:val="00C36457"/>
    <w:rsid w:val="00C4221C"/>
    <w:rsid w:val="00C42E39"/>
    <w:rsid w:val="00C46BFA"/>
    <w:rsid w:val="00C47002"/>
    <w:rsid w:val="00C4738B"/>
    <w:rsid w:val="00C47989"/>
    <w:rsid w:val="00C47CBE"/>
    <w:rsid w:val="00C50AEA"/>
    <w:rsid w:val="00C51D99"/>
    <w:rsid w:val="00C53733"/>
    <w:rsid w:val="00C57BB1"/>
    <w:rsid w:val="00C60685"/>
    <w:rsid w:val="00C61929"/>
    <w:rsid w:val="00C622D8"/>
    <w:rsid w:val="00C6237C"/>
    <w:rsid w:val="00C64AD4"/>
    <w:rsid w:val="00C66378"/>
    <w:rsid w:val="00C663A7"/>
    <w:rsid w:val="00C67C44"/>
    <w:rsid w:val="00C744BE"/>
    <w:rsid w:val="00C7531C"/>
    <w:rsid w:val="00C7540F"/>
    <w:rsid w:val="00C75C82"/>
    <w:rsid w:val="00C77D14"/>
    <w:rsid w:val="00C8054D"/>
    <w:rsid w:val="00C810AD"/>
    <w:rsid w:val="00C811BC"/>
    <w:rsid w:val="00C815E1"/>
    <w:rsid w:val="00C82D4C"/>
    <w:rsid w:val="00C83422"/>
    <w:rsid w:val="00C8702A"/>
    <w:rsid w:val="00C91577"/>
    <w:rsid w:val="00C91714"/>
    <w:rsid w:val="00C91FEC"/>
    <w:rsid w:val="00C93059"/>
    <w:rsid w:val="00C959BA"/>
    <w:rsid w:val="00C9693D"/>
    <w:rsid w:val="00CA0D14"/>
    <w:rsid w:val="00CA12D6"/>
    <w:rsid w:val="00CA16D0"/>
    <w:rsid w:val="00CA1E04"/>
    <w:rsid w:val="00CA2A9A"/>
    <w:rsid w:val="00CA5315"/>
    <w:rsid w:val="00CA5A34"/>
    <w:rsid w:val="00CA5C69"/>
    <w:rsid w:val="00CA7EC6"/>
    <w:rsid w:val="00CB22DA"/>
    <w:rsid w:val="00CB5C1E"/>
    <w:rsid w:val="00CB6648"/>
    <w:rsid w:val="00CB666F"/>
    <w:rsid w:val="00CC1014"/>
    <w:rsid w:val="00CC4843"/>
    <w:rsid w:val="00CC4A0E"/>
    <w:rsid w:val="00CC5B1E"/>
    <w:rsid w:val="00CC69FE"/>
    <w:rsid w:val="00CC73FE"/>
    <w:rsid w:val="00CD18FC"/>
    <w:rsid w:val="00CD196A"/>
    <w:rsid w:val="00CD324C"/>
    <w:rsid w:val="00CD5CAE"/>
    <w:rsid w:val="00CD61BE"/>
    <w:rsid w:val="00CD74C7"/>
    <w:rsid w:val="00CD761F"/>
    <w:rsid w:val="00CE0BEB"/>
    <w:rsid w:val="00CE3A72"/>
    <w:rsid w:val="00CE3C95"/>
    <w:rsid w:val="00CE41D4"/>
    <w:rsid w:val="00CE42D7"/>
    <w:rsid w:val="00CE4D89"/>
    <w:rsid w:val="00CE5876"/>
    <w:rsid w:val="00CE648A"/>
    <w:rsid w:val="00CE6B82"/>
    <w:rsid w:val="00CF2D82"/>
    <w:rsid w:val="00CF34D5"/>
    <w:rsid w:val="00CF3583"/>
    <w:rsid w:val="00CF68C7"/>
    <w:rsid w:val="00D01A30"/>
    <w:rsid w:val="00D03769"/>
    <w:rsid w:val="00D03C64"/>
    <w:rsid w:val="00D041E1"/>
    <w:rsid w:val="00D07692"/>
    <w:rsid w:val="00D10319"/>
    <w:rsid w:val="00D10BD3"/>
    <w:rsid w:val="00D11F86"/>
    <w:rsid w:val="00D14E55"/>
    <w:rsid w:val="00D16219"/>
    <w:rsid w:val="00D20A3C"/>
    <w:rsid w:val="00D242E9"/>
    <w:rsid w:val="00D247AA"/>
    <w:rsid w:val="00D259AE"/>
    <w:rsid w:val="00D26A0F"/>
    <w:rsid w:val="00D26C92"/>
    <w:rsid w:val="00D32F45"/>
    <w:rsid w:val="00D3324F"/>
    <w:rsid w:val="00D33E5A"/>
    <w:rsid w:val="00D35E04"/>
    <w:rsid w:val="00D36098"/>
    <w:rsid w:val="00D36118"/>
    <w:rsid w:val="00D4019F"/>
    <w:rsid w:val="00D41239"/>
    <w:rsid w:val="00D420E0"/>
    <w:rsid w:val="00D4476F"/>
    <w:rsid w:val="00D46264"/>
    <w:rsid w:val="00D46707"/>
    <w:rsid w:val="00D473A7"/>
    <w:rsid w:val="00D50433"/>
    <w:rsid w:val="00D50CB1"/>
    <w:rsid w:val="00D51513"/>
    <w:rsid w:val="00D52333"/>
    <w:rsid w:val="00D5268F"/>
    <w:rsid w:val="00D55929"/>
    <w:rsid w:val="00D56B01"/>
    <w:rsid w:val="00D6207D"/>
    <w:rsid w:val="00D663F8"/>
    <w:rsid w:val="00D67344"/>
    <w:rsid w:val="00D67E54"/>
    <w:rsid w:val="00D70FB7"/>
    <w:rsid w:val="00D7138C"/>
    <w:rsid w:val="00D719C4"/>
    <w:rsid w:val="00D75868"/>
    <w:rsid w:val="00D7634E"/>
    <w:rsid w:val="00D7705D"/>
    <w:rsid w:val="00D771A1"/>
    <w:rsid w:val="00D8002C"/>
    <w:rsid w:val="00D82665"/>
    <w:rsid w:val="00D83EC1"/>
    <w:rsid w:val="00D86344"/>
    <w:rsid w:val="00D87296"/>
    <w:rsid w:val="00D90B4E"/>
    <w:rsid w:val="00D94017"/>
    <w:rsid w:val="00D96988"/>
    <w:rsid w:val="00DA0B45"/>
    <w:rsid w:val="00DA4167"/>
    <w:rsid w:val="00DB290A"/>
    <w:rsid w:val="00DB5729"/>
    <w:rsid w:val="00DB5DC6"/>
    <w:rsid w:val="00DB5F4A"/>
    <w:rsid w:val="00DC1F15"/>
    <w:rsid w:val="00DC2901"/>
    <w:rsid w:val="00DC2B70"/>
    <w:rsid w:val="00DC4234"/>
    <w:rsid w:val="00DD0750"/>
    <w:rsid w:val="00DD1663"/>
    <w:rsid w:val="00DD40BC"/>
    <w:rsid w:val="00DD4F4A"/>
    <w:rsid w:val="00DD75B4"/>
    <w:rsid w:val="00DD7C85"/>
    <w:rsid w:val="00DD7E6B"/>
    <w:rsid w:val="00DE03D2"/>
    <w:rsid w:val="00DE49AE"/>
    <w:rsid w:val="00DF13FA"/>
    <w:rsid w:val="00DF1684"/>
    <w:rsid w:val="00DF17BB"/>
    <w:rsid w:val="00DF3B85"/>
    <w:rsid w:val="00E0120D"/>
    <w:rsid w:val="00E04927"/>
    <w:rsid w:val="00E050CE"/>
    <w:rsid w:val="00E078C3"/>
    <w:rsid w:val="00E111A1"/>
    <w:rsid w:val="00E12446"/>
    <w:rsid w:val="00E1247C"/>
    <w:rsid w:val="00E12EFE"/>
    <w:rsid w:val="00E1664C"/>
    <w:rsid w:val="00E17930"/>
    <w:rsid w:val="00E21ACE"/>
    <w:rsid w:val="00E21B5F"/>
    <w:rsid w:val="00E240D5"/>
    <w:rsid w:val="00E245D3"/>
    <w:rsid w:val="00E25C8A"/>
    <w:rsid w:val="00E25D44"/>
    <w:rsid w:val="00E26260"/>
    <w:rsid w:val="00E27B8B"/>
    <w:rsid w:val="00E366FE"/>
    <w:rsid w:val="00E37515"/>
    <w:rsid w:val="00E4164E"/>
    <w:rsid w:val="00E4330E"/>
    <w:rsid w:val="00E46AE8"/>
    <w:rsid w:val="00E50457"/>
    <w:rsid w:val="00E565E5"/>
    <w:rsid w:val="00E56FDD"/>
    <w:rsid w:val="00E61FCE"/>
    <w:rsid w:val="00E634B0"/>
    <w:rsid w:val="00E64E0C"/>
    <w:rsid w:val="00E65FFB"/>
    <w:rsid w:val="00E73844"/>
    <w:rsid w:val="00E76E69"/>
    <w:rsid w:val="00E77EA6"/>
    <w:rsid w:val="00E80427"/>
    <w:rsid w:val="00E80504"/>
    <w:rsid w:val="00E81FD1"/>
    <w:rsid w:val="00E829DE"/>
    <w:rsid w:val="00E83951"/>
    <w:rsid w:val="00E839AB"/>
    <w:rsid w:val="00E83BAE"/>
    <w:rsid w:val="00E90C24"/>
    <w:rsid w:val="00E90F4D"/>
    <w:rsid w:val="00E9209E"/>
    <w:rsid w:val="00E920F1"/>
    <w:rsid w:val="00E92A3E"/>
    <w:rsid w:val="00E9402C"/>
    <w:rsid w:val="00E94BD6"/>
    <w:rsid w:val="00E9534B"/>
    <w:rsid w:val="00E9650B"/>
    <w:rsid w:val="00EA018D"/>
    <w:rsid w:val="00EA0993"/>
    <w:rsid w:val="00EA1D82"/>
    <w:rsid w:val="00EA337A"/>
    <w:rsid w:val="00EA56E8"/>
    <w:rsid w:val="00EA65BF"/>
    <w:rsid w:val="00EB0207"/>
    <w:rsid w:val="00EB12F0"/>
    <w:rsid w:val="00EB3259"/>
    <w:rsid w:val="00EB4B66"/>
    <w:rsid w:val="00EB4C2B"/>
    <w:rsid w:val="00EC0FDD"/>
    <w:rsid w:val="00EC36E1"/>
    <w:rsid w:val="00EC52BC"/>
    <w:rsid w:val="00ED08EF"/>
    <w:rsid w:val="00ED26B2"/>
    <w:rsid w:val="00ED2898"/>
    <w:rsid w:val="00ED2ED7"/>
    <w:rsid w:val="00ED3E6D"/>
    <w:rsid w:val="00ED47AC"/>
    <w:rsid w:val="00ED4E94"/>
    <w:rsid w:val="00EE0149"/>
    <w:rsid w:val="00EE0D8B"/>
    <w:rsid w:val="00EE2123"/>
    <w:rsid w:val="00EE4BD8"/>
    <w:rsid w:val="00EF03B3"/>
    <w:rsid w:val="00EF2731"/>
    <w:rsid w:val="00EF30CD"/>
    <w:rsid w:val="00EF3AFC"/>
    <w:rsid w:val="00EF5771"/>
    <w:rsid w:val="00EF6A61"/>
    <w:rsid w:val="00EF7C76"/>
    <w:rsid w:val="00F000AD"/>
    <w:rsid w:val="00F00658"/>
    <w:rsid w:val="00F00E31"/>
    <w:rsid w:val="00F02663"/>
    <w:rsid w:val="00F02947"/>
    <w:rsid w:val="00F03347"/>
    <w:rsid w:val="00F0433D"/>
    <w:rsid w:val="00F0656F"/>
    <w:rsid w:val="00F06D3C"/>
    <w:rsid w:val="00F07619"/>
    <w:rsid w:val="00F11878"/>
    <w:rsid w:val="00F12467"/>
    <w:rsid w:val="00F14A32"/>
    <w:rsid w:val="00F15147"/>
    <w:rsid w:val="00F15FC4"/>
    <w:rsid w:val="00F201AD"/>
    <w:rsid w:val="00F2114C"/>
    <w:rsid w:val="00F2144E"/>
    <w:rsid w:val="00F225CE"/>
    <w:rsid w:val="00F23C83"/>
    <w:rsid w:val="00F24C7C"/>
    <w:rsid w:val="00F26ACC"/>
    <w:rsid w:val="00F27B1E"/>
    <w:rsid w:val="00F323B7"/>
    <w:rsid w:val="00F3388D"/>
    <w:rsid w:val="00F34C0B"/>
    <w:rsid w:val="00F37B39"/>
    <w:rsid w:val="00F37DE4"/>
    <w:rsid w:val="00F41134"/>
    <w:rsid w:val="00F41FA6"/>
    <w:rsid w:val="00F42820"/>
    <w:rsid w:val="00F44086"/>
    <w:rsid w:val="00F47AFC"/>
    <w:rsid w:val="00F54188"/>
    <w:rsid w:val="00F57BB6"/>
    <w:rsid w:val="00F601EF"/>
    <w:rsid w:val="00F60B74"/>
    <w:rsid w:val="00F61346"/>
    <w:rsid w:val="00F6423F"/>
    <w:rsid w:val="00F66EC8"/>
    <w:rsid w:val="00F675AA"/>
    <w:rsid w:val="00F70A65"/>
    <w:rsid w:val="00F72428"/>
    <w:rsid w:val="00F75FDF"/>
    <w:rsid w:val="00F76A88"/>
    <w:rsid w:val="00F91DCA"/>
    <w:rsid w:val="00F93759"/>
    <w:rsid w:val="00F93C06"/>
    <w:rsid w:val="00FA051E"/>
    <w:rsid w:val="00FA1C00"/>
    <w:rsid w:val="00FA1CEA"/>
    <w:rsid w:val="00FA1DB9"/>
    <w:rsid w:val="00FA301C"/>
    <w:rsid w:val="00FA356F"/>
    <w:rsid w:val="00FA47DF"/>
    <w:rsid w:val="00FA559C"/>
    <w:rsid w:val="00FA5605"/>
    <w:rsid w:val="00FA60CC"/>
    <w:rsid w:val="00FA64F2"/>
    <w:rsid w:val="00FA6D2E"/>
    <w:rsid w:val="00FB0706"/>
    <w:rsid w:val="00FB142D"/>
    <w:rsid w:val="00FB368E"/>
    <w:rsid w:val="00FB5326"/>
    <w:rsid w:val="00FB59B0"/>
    <w:rsid w:val="00FB6255"/>
    <w:rsid w:val="00FB6336"/>
    <w:rsid w:val="00FB6401"/>
    <w:rsid w:val="00FB77C7"/>
    <w:rsid w:val="00FC03DE"/>
    <w:rsid w:val="00FC10A8"/>
    <w:rsid w:val="00FC32DF"/>
    <w:rsid w:val="00FC372C"/>
    <w:rsid w:val="00FC4A0C"/>
    <w:rsid w:val="00FC724D"/>
    <w:rsid w:val="00FC7266"/>
    <w:rsid w:val="00FC775F"/>
    <w:rsid w:val="00FD208A"/>
    <w:rsid w:val="00FD48B5"/>
    <w:rsid w:val="00FD5F9F"/>
    <w:rsid w:val="00FD5FE9"/>
    <w:rsid w:val="00FD71F1"/>
    <w:rsid w:val="00FE2A98"/>
    <w:rsid w:val="00FE33C8"/>
    <w:rsid w:val="00FE4C8B"/>
    <w:rsid w:val="00FE6388"/>
    <w:rsid w:val="00FE6635"/>
    <w:rsid w:val="00FE761C"/>
    <w:rsid w:val="00FF23E7"/>
    <w:rsid w:val="00FF4A56"/>
    <w:rsid w:val="00FF4F61"/>
    <w:rsid w:val="00FF507A"/>
    <w:rsid w:val="00FF5FF1"/>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nl-BE" w:eastAsia="nl-B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caption" w:semiHidden="1" w:unhideWhenUsed="1" w:qFormat="1"/>
    <w:lsdException w:name="List Number" w:qFormat="1"/>
    <w:lsdException w:name="Title" w:uiPriority="10" w:qFormat="1"/>
    <w:lsdException w:name="Default Paragraph Font" w:uiPriority="1"/>
    <w:lsdException w:name="Subtitle" w:qFormat="1"/>
    <w:lsdException w:name="Emphasis" w:qFormat="1"/>
    <w:lsdException w:name="HTML Preformatted"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semiHidden="1" w:unhideWhenUsed="1"/>
    <w:lsdException w:name="Table Grid 1" w:semiHidden="1" w:unhideWhenUsed="1"/>
    <w:lsdException w:name="Table Grid 2"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AE188B"/>
    <w:pPr>
      <w:spacing w:line="300" w:lineRule="atLeast"/>
      <w:contextualSpacing/>
    </w:pPr>
    <w:rPr>
      <w:color w:val="585849"/>
      <w:szCs w:val="12"/>
      <w:lang w:eastAsia="nl-NL"/>
    </w:rPr>
  </w:style>
  <w:style w:type="paragraph" w:styleId="Kop1">
    <w:name w:val="heading 1"/>
    <w:basedOn w:val="Standaard"/>
    <w:next w:val="Standaard"/>
    <w:link w:val="Kop1Char"/>
    <w:qFormat/>
    <w:rsid w:val="00C66378"/>
    <w:pPr>
      <w:keepNext/>
      <w:keepLines/>
      <w:numPr>
        <w:numId w:val="6"/>
      </w:numPr>
      <w:spacing w:before="480" w:after="120"/>
      <w:outlineLvl w:val="0"/>
    </w:pPr>
    <w:rPr>
      <w:b/>
      <w:bCs/>
      <w:sz w:val="26"/>
      <w:szCs w:val="28"/>
      <w:lang w:val="x-none"/>
    </w:rPr>
  </w:style>
  <w:style w:type="paragraph" w:styleId="Kop2">
    <w:name w:val="heading 2"/>
    <w:basedOn w:val="Standaard"/>
    <w:next w:val="Standaard"/>
    <w:link w:val="Kop2Char"/>
    <w:unhideWhenUsed/>
    <w:qFormat/>
    <w:rsid w:val="00C66378"/>
    <w:pPr>
      <w:keepNext/>
      <w:keepLines/>
      <w:numPr>
        <w:ilvl w:val="1"/>
        <w:numId w:val="6"/>
      </w:numPr>
      <w:spacing w:before="200"/>
      <w:outlineLvl w:val="1"/>
    </w:pPr>
    <w:rPr>
      <w:b/>
      <w:bCs/>
      <w:sz w:val="24"/>
      <w:szCs w:val="26"/>
      <w:lang w:val="x-none"/>
    </w:rPr>
  </w:style>
  <w:style w:type="paragraph" w:styleId="Kop3">
    <w:name w:val="heading 3"/>
    <w:basedOn w:val="Standaard"/>
    <w:next w:val="Standaard"/>
    <w:link w:val="Kop3Char"/>
    <w:unhideWhenUsed/>
    <w:qFormat/>
    <w:rsid w:val="00C66378"/>
    <w:pPr>
      <w:keepNext/>
      <w:keepLines/>
      <w:numPr>
        <w:ilvl w:val="2"/>
        <w:numId w:val="6"/>
      </w:numPr>
      <w:spacing w:before="200"/>
      <w:outlineLvl w:val="2"/>
    </w:pPr>
    <w:rPr>
      <w:b/>
      <w:bCs/>
      <w:sz w:val="22"/>
      <w:lang w:val="x-none"/>
    </w:rPr>
  </w:style>
  <w:style w:type="paragraph" w:styleId="Kop4">
    <w:name w:val="heading 4"/>
    <w:basedOn w:val="Standaard"/>
    <w:next w:val="Standaard"/>
    <w:link w:val="Kop4Char"/>
    <w:unhideWhenUsed/>
    <w:rsid w:val="00C66378"/>
    <w:pPr>
      <w:keepNext/>
      <w:keepLines/>
      <w:numPr>
        <w:ilvl w:val="3"/>
        <w:numId w:val="6"/>
      </w:numPr>
      <w:spacing w:before="200"/>
      <w:outlineLvl w:val="3"/>
    </w:pPr>
    <w:rPr>
      <w:b/>
      <w:bCs/>
      <w:iCs/>
      <w:lang w:val="x-none"/>
    </w:rPr>
  </w:style>
  <w:style w:type="paragraph" w:styleId="Kop5">
    <w:name w:val="heading 5"/>
    <w:basedOn w:val="Standaard"/>
    <w:next w:val="Standaard"/>
    <w:link w:val="Kop5Char"/>
    <w:unhideWhenUsed/>
    <w:rsid w:val="007E2E9E"/>
    <w:pPr>
      <w:keepNext/>
      <w:keepLines/>
      <w:numPr>
        <w:ilvl w:val="4"/>
        <w:numId w:val="6"/>
      </w:numPr>
      <w:spacing w:before="200"/>
      <w:outlineLvl w:val="4"/>
    </w:pPr>
    <w:rPr>
      <w:b/>
      <w:lang w:val="x-none"/>
    </w:rPr>
  </w:style>
  <w:style w:type="paragraph" w:styleId="Kop6">
    <w:name w:val="heading 6"/>
    <w:basedOn w:val="Standaard"/>
    <w:next w:val="Standaard"/>
    <w:link w:val="Kop6Char"/>
    <w:unhideWhenUsed/>
    <w:rsid w:val="007E2E9E"/>
    <w:pPr>
      <w:keepNext/>
      <w:keepLines/>
      <w:numPr>
        <w:ilvl w:val="5"/>
        <w:numId w:val="6"/>
      </w:numPr>
      <w:spacing w:before="200"/>
      <w:outlineLvl w:val="5"/>
    </w:pPr>
    <w:rPr>
      <w:b/>
      <w:iCs/>
      <w:lang w:val="x-none"/>
    </w:rPr>
  </w:style>
  <w:style w:type="paragraph" w:styleId="Kop7">
    <w:name w:val="heading 7"/>
    <w:basedOn w:val="Standaard"/>
    <w:next w:val="Standaard"/>
    <w:link w:val="Kop7Char"/>
    <w:unhideWhenUsed/>
    <w:rsid w:val="007E2E9E"/>
    <w:pPr>
      <w:keepNext/>
      <w:keepLines/>
      <w:numPr>
        <w:ilvl w:val="6"/>
        <w:numId w:val="6"/>
      </w:numPr>
      <w:spacing w:before="200"/>
      <w:outlineLvl w:val="6"/>
    </w:pPr>
    <w:rPr>
      <w:b/>
      <w:iCs/>
      <w:lang w:val="x-none"/>
    </w:rPr>
  </w:style>
  <w:style w:type="paragraph" w:styleId="Kop8">
    <w:name w:val="heading 8"/>
    <w:basedOn w:val="Standaard"/>
    <w:next w:val="Standaard"/>
    <w:link w:val="Kop8Char"/>
    <w:unhideWhenUsed/>
    <w:rsid w:val="007E2E9E"/>
    <w:pPr>
      <w:keepNext/>
      <w:keepLines/>
      <w:numPr>
        <w:ilvl w:val="7"/>
        <w:numId w:val="6"/>
      </w:numPr>
      <w:spacing w:before="200"/>
      <w:outlineLvl w:val="7"/>
    </w:pPr>
    <w:rPr>
      <w:b/>
      <w:szCs w:val="20"/>
      <w:lang w:val="x-none"/>
    </w:rPr>
  </w:style>
  <w:style w:type="paragraph" w:styleId="Kop9">
    <w:name w:val="heading 9"/>
    <w:basedOn w:val="Standaard"/>
    <w:next w:val="Standaard"/>
    <w:link w:val="Kop9Char"/>
    <w:unhideWhenUsed/>
    <w:rsid w:val="007E2E9E"/>
    <w:pPr>
      <w:keepNext/>
      <w:keepLines/>
      <w:numPr>
        <w:ilvl w:val="8"/>
        <w:numId w:val="6"/>
      </w:numPr>
      <w:spacing w:before="200"/>
      <w:outlineLvl w:val="8"/>
    </w:pPr>
    <w:rPr>
      <w:b/>
      <w:iCs/>
      <w:szCs w:val="20"/>
      <w:lang w:val="x-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Opsomming">
    <w:name w:val="Opsomming"/>
    <w:basedOn w:val="Standaard"/>
    <w:link w:val="OpsommingChar"/>
    <w:qFormat/>
    <w:rsid w:val="00EA018D"/>
    <w:pPr>
      <w:numPr>
        <w:numId w:val="4"/>
      </w:numPr>
      <w:tabs>
        <w:tab w:val="left" w:pos="284"/>
      </w:tabs>
    </w:pPr>
    <w:rPr>
      <w:lang w:val="x-none"/>
    </w:rPr>
  </w:style>
  <w:style w:type="paragraph" w:styleId="Lijstnummering">
    <w:name w:val="List Number"/>
    <w:basedOn w:val="Standaard"/>
    <w:link w:val="LijstnummeringChar"/>
    <w:qFormat/>
    <w:rsid w:val="00EA018D"/>
    <w:pPr>
      <w:numPr>
        <w:numId w:val="2"/>
      </w:numPr>
    </w:pPr>
    <w:rPr>
      <w:lang w:val="x-none"/>
    </w:rPr>
  </w:style>
  <w:style w:type="paragraph" w:styleId="Koptekst">
    <w:name w:val="header"/>
    <w:basedOn w:val="Standaard"/>
    <w:link w:val="KoptekstChar"/>
    <w:rsid w:val="00206331"/>
    <w:pPr>
      <w:tabs>
        <w:tab w:val="center" w:pos="4536"/>
        <w:tab w:val="right" w:pos="9072"/>
      </w:tabs>
    </w:pPr>
    <w:rPr>
      <w:color w:val="auto"/>
      <w:sz w:val="24"/>
      <w:szCs w:val="24"/>
      <w:lang w:val="nl-NL"/>
    </w:rPr>
  </w:style>
  <w:style w:type="character" w:customStyle="1" w:styleId="KoptekstChar">
    <w:name w:val="Koptekst Char"/>
    <w:link w:val="Koptekst"/>
    <w:rsid w:val="00206331"/>
    <w:rPr>
      <w:sz w:val="24"/>
      <w:szCs w:val="24"/>
      <w:lang w:val="nl-NL" w:eastAsia="nl-NL"/>
    </w:rPr>
  </w:style>
  <w:style w:type="paragraph" w:styleId="Ballontekst">
    <w:name w:val="Balloon Text"/>
    <w:basedOn w:val="Standaard"/>
    <w:next w:val="Standaard"/>
    <w:link w:val="BallontekstChar"/>
    <w:rsid w:val="007E2E9E"/>
    <w:pPr>
      <w:tabs>
        <w:tab w:val="left" w:pos="3544"/>
      </w:tabs>
      <w:spacing w:line="220" w:lineRule="atLeast"/>
    </w:pPr>
    <w:rPr>
      <w:b/>
      <w:sz w:val="16"/>
      <w:szCs w:val="14"/>
      <w:lang w:val="x-none"/>
    </w:rPr>
  </w:style>
  <w:style w:type="character" w:customStyle="1" w:styleId="BallontekstChar">
    <w:name w:val="Ballontekst Char"/>
    <w:link w:val="Ballontekst"/>
    <w:rsid w:val="00651F67"/>
    <w:rPr>
      <w:rFonts w:cs="Tahoma"/>
      <w:b/>
      <w:color w:val="585849"/>
      <w:sz w:val="16"/>
      <w:szCs w:val="14"/>
      <w:lang w:eastAsia="nl-NL"/>
    </w:rPr>
  </w:style>
  <w:style w:type="character" w:customStyle="1" w:styleId="Kop1Char">
    <w:name w:val="Kop 1 Char"/>
    <w:link w:val="Kop1"/>
    <w:rsid w:val="00F76A88"/>
    <w:rPr>
      <w:b/>
      <w:bCs/>
      <w:color w:val="585849"/>
      <w:sz w:val="26"/>
      <w:szCs w:val="28"/>
      <w:lang w:val="x-none" w:eastAsia="nl-NL"/>
    </w:rPr>
  </w:style>
  <w:style w:type="paragraph" w:styleId="Titel">
    <w:name w:val="Title"/>
    <w:basedOn w:val="Standaard"/>
    <w:next w:val="Beschrijving"/>
    <w:link w:val="TitelChar"/>
    <w:uiPriority w:val="10"/>
    <w:qFormat/>
    <w:rsid w:val="007E2E9E"/>
    <w:pPr>
      <w:spacing w:after="300" w:line="240" w:lineRule="auto"/>
    </w:pPr>
    <w:rPr>
      <w:spacing w:val="5"/>
      <w:kern w:val="28"/>
      <w:sz w:val="36"/>
      <w:szCs w:val="52"/>
      <w:lang w:val="x-none"/>
    </w:rPr>
  </w:style>
  <w:style w:type="character" w:customStyle="1" w:styleId="TitelChar">
    <w:name w:val="Titel Char"/>
    <w:link w:val="Titel"/>
    <w:uiPriority w:val="10"/>
    <w:rsid w:val="00EC36E1"/>
    <w:rPr>
      <w:rFonts w:ascii="Arial" w:eastAsia="Times New Roman" w:hAnsi="Arial" w:cs="Times New Roman"/>
      <w:color w:val="585849"/>
      <w:spacing w:val="5"/>
      <w:kern w:val="28"/>
      <w:sz w:val="36"/>
      <w:szCs w:val="52"/>
      <w:lang w:eastAsia="nl-NL"/>
    </w:rPr>
  </w:style>
  <w:style w:type="character" w:styleId="Nadruk">
    <w:name w:val="Emphasis"/>
    <w:qFormat/>
    <w:rsid w:val="007E2E9E"/>
    <w:rPr>
      <w:i/>
      <w:iCs/>
      <w:color w:val="773388"/>
    </w:rPr>
  </w:style>
  <w:style w:type="paragraph" w:styleId="Ondertitel">
    <w:name w:val="Subtitle"/>
    <w:basedOn w:val="Standaard"/>
    <w:next w:val="Standaard"/>
    <w:link w:val="OndertitelChar"/>
    <w:qFormat/>
    <w:rsid w:val="007E2E9E"/>
    <w:pPr>
      <w:numPr>
        <w:ilvl w:val="1"/>
      </w:numPr>
      <w:spacing w:before="120"/>
    </w:pPr>
    <w:rPr>
      <w:b/>
      <w:iCs/>
      <w:color w:val="CC0077"/>
      <w:spacing w:val="15"/>
      <w:sz w:val="24"/>
      <w:u w:val="single"/>
      <w:lang w:val="x-none"/>
    </w:rPr>
  </w:style>
  <w:style w:type="character" w:customStyle="1" w:styleId="OndertitelChar">
    <w:name w:val="Ondertitel Char"/>
    <w:link w:val="Ondertitel"/>
    <w:rsid w:val="001C6234"/>
    <w:rPr>
      <w:rFonts w:ascii="Arial" w:eastAsia="Times New Roman" w:hAnsi="Arial" w:cs="Times New Roman"/>
      <w:b/>
      <w:iCs/>
      <w:color w:val="CC0077"/>
      <w:spacing w:val="15"/>
      <w:sz w:val="24"/>
      <w:szCs w:val="12"/>
      <w:u w:val="single"/>
      <w:lang w:eastAsia="nl-NL"/>
    </w:rPr>
  </w:style>
  <w:style w:type="character" w:customStyle="1" w:styleId="Kop2Char">
    <w:name w:val="Kop 2 Char"/>
    <w:link w:val="Kop2"/>
    <w:rsid w:val="00F76A88"/>
    <w:rPr>
      <w:b/>
      <w:bCs/>
      <w:color w:val="585849"/>
      <w:sz w:val="24"/>
      <w:szCs w:val="26"/>
      <w:lang w:val="x-none" w:eastAsia="nl-NL"/>
    </w:rPr>
  </w:style>
  <w:style w:type="character" w:customStyle="1" w:styleId="Kop3Char">
    <w:name w:val="Kop 3 Char"/>
    <w:link w:val="Kop3"/>
    <w:rsid w:val="00F76A88"/>
    <w:rPr>
      <w:b/>
      <w:bCs/>
      <w:color w:val="585849"/>
      <w:sz w:val="22"/>
      <w:szCs w:val="12"/>
      <w:lang w:val="x-none" w:eastAsia="nl-NL"/>
    </w:rPr>
  </w:style>
  <w:style w:type="character" w:customStyle="1" w:styleId="Kop4Char">
    <w:name w:val="Kop 4 Char"/>
    <w:link w:val="Kop4"/>
    <w:rsid w:val="00F76A88"/>
    <w:rPr>
      <w:b/>
      <w:bCs/>
      <w:iCs/>
      <w:color w:val="585849"/>
      <w:szCs w:val="12"/>
      <w:lang w:val="x-none" w:eastAsia="nl-NL"/>
    </w:rPr>
  </w:style>
  <w:style w:type="character" w:customStyle="1" w:styleId="Kop5Char">
    <w:name w:val="Kop 5 Char"/>
    <w:link w:val="Kop5"/>
    <w:rsid w:val="00F76A88"/>
    <w:rPr>
      <w:b/>
      <w:color w:val="585849"/>
      <w:szCs w:val="12"/>
      <w:lang w:val="x-none" w:eastAsia="nl-NL"/>
    </w:rPr>
  </w:style>
  <w:style w:type="character" w:customStyle="1" w:styleId="Kop6Char">
    <w:name w:val="Kop 6 Char"/>
    <w:link w:val="Kop6"/>
    <w:rsid w:val="00F76A88"/>
    <w:rPr>
      <w:b/>
      <w:iCs/>
      <w:color w:val="585849"/>
      <w:szCs w:val="12"/>
      <w:lang w:val="x-none" w:eastAsia="nl-NL"/>
    </w:rPr>
  </w:style>
  <w:style w:type="character" w:customStyle="1" w:styleId="Kop7Char">
    <w:name w:val="Kop 7 Char"/>
    <w:link w:val="Kop7"/>
    <w:rsid w:val="00F76A88"/>
    <w:rPr>
      <w:b/>
      <w:iCs/>
      <w:color w:val="585849"/>
      <w:szCs w:val="12"/>
      <w:lang w:val="x-none" w:eastAsia="nl-NL"/>
    </w:rPr>
  </w:style>
  <w:style w:type="character" w:customStyle="1" w:styleId="Kop8Char">
    <w:name w:val="Kop 8 Char"/>
    <w:link w:val="Kop8"/>
    <w:rsid w:val="00F76A88"/>
    <w:rPr>
      <w:b/>
      <w:color w:val="585849"/>
      <w:lang w:val="x-none" w:eastAsia="nl-NL"/>
    </w:rPr>
  </w:style>
  <w:style w:type="character" w:customStyle="1" w:styleId="Kop9Char">
    <w:name w:val="Kop 9 Char"/>
    <w:link w:val="Kop9"/>
    <w:rsid w:val="00F76A88"/>
    <w:rPr>
      <w:b/>
      <w:iCs/>
      <w:color w:val="585849"/>
      <w:lang w:val="x-none" w:eastAsia="nl-NL"/>
    </w:rPr>
  </w:style>
  <w:style w:type="character" w:styleId="Subtielebenadrukking">
    <w:name w:val="Subtle Emphasis"/>
    <w:uiPriority w:val="19"/>
    <w:qFormat/>
    <w:rsid w:val="007E2E9E"/>
    <w:rPr>
      <w:i/>
      <w:iCs/>
      <w:color w:val="585849"/>
    </w:rPr>
  </w:style>
  <w:style w:type="character" w:styleId="Intensievebenadrukking">
    <w:name w:val="Intense Emphasis"/>
    <w:uiPriority w:val="21"/>
    <w:qFormat/>
    <w:rsid w:val="007E2E9E"/>
    <w:rPr>
      <w:b/>
      <w:bCs/>
      <w:i/>
      <w:iCs/>
      <w:color w:val="CC0077"/>
    </w:rPr>
  </w:style>
  <w:style w:type="paragraph" w:styleId="Citaat">
    <w:name w:val="Quote"/>
    <w:basedOn w:val="Standaard"/>
    <w:next w:val="Standaard"/>
    <w:link w:val="CitaatChar"/>
    <w:uiPriority w:val="29"/>
    <w:qFormat/>
    <w:rsid w:val="007E2E9E"/>
    <w:rPr>
      <w:i/>
      <w:iCs/>
      <w:lang w:val="x-none"/>
    </w:rPr>
  </w:style>
  <w:style w:type="character" w:customStyle="1" w:styleId="CitaatChar">
    <w:name w:val="Citaat Char"/>
    <w:link w:val="Citaat"/>
    <w:uiPriority w:val="29"/>
    <w:rsid w:val="00E0120D"/>
    <w:rPr>
      <w:i/>
      <w:iCs/>
      <w:color w:val="585849"/>
      <w:sz w:val="20"/>
      <w:szCs w:val="12"/>
      <w:lang w:eastAsia="nl-NL"/>
    </w:rPr>
  </w:style>
  <w:style w:type="paragraph" w:styleId="Duidelijkcitaat">
    <w:name w:val="Intense Quote"/>
    <w:basedOn w:val="Standaard"/>
    <w:next w:val="Standaard"/>
    <w:link w:val="DuidelijkcitaatChar"/>
    <w:uiPriority w:val="30"/>
    <w:qFormat/>
    <w:rsid w:val="007E2E9E"/>
    <w:pPr>
      <w:pBdr>
        <w:bottom w:val="single" w:sz="4" w:space="4" w:color="CC0077"/>
      </w:pBdr>
      <w:spacing w:before="200"/>
      <w:ind w:left="936" w:right="936"/>
    </w:pPr>
    <w:rPr>
      <w:b/>
      <w:bCs/>
      <w:i/>
      <w:iCs/>
      <w:color w:val="CC0077"/>
      <w:lang w:val="x-none"/>
    </w:rPr>
  </w:style>
  <w:style w:type="character" w:customStyle="1" w:styleId="DuidelijkcitaatChar">
    <w:name w:val="Duidelijk citaat Char"/>
    <w:link w:val="Duidelijkcitaat"/>
    <w:uiPriority w:val="30"/>
    <w:rsid w:val="001C6234"/>
    <w:rPr>
      <w:b/>
      <w:bCs/>
      <w:i/>
      <w:iCs/>
      <w:color w:val="CC0077"/>
      <w:sz w:val="20"/>
      <w:szCs w:val="12"/>
      <w:lang w:eastAsia="nl-NL"/>
    </w:rPr>
  </w:style>
  <w:style w:type="character" w:styleId="Subtieleverwijzing">
    <w:name w:val="Subtle Reference"/>
    <w:uiPriority w:val="31"/>
    <w:qFormat/>
    <w:rsid w:val="007E2E9E"/>
    <w:rPr>
      <w:smallCaps/>
      <w:color w:val="773388"/>
      <w:u w:val="single"/>
    </w:rPr>
  </w:style>
  <w:style w:type="character" w:styleId="Intensieveverwijzing">
    <w:name w:val="Intense Reference"/>
    <w:uiPriority w:val="32"/>
    <w:qFormat/>
    <w:rsid w:val="007E2E9E"/>
    <w:rPr>
      <w:b/>
      <w:bCs/>
      <w:smallCaps/>
      <w:color w:val="773388"/>
      <w:spacing w:val="5"/>
      <w:u w:val="single"/>
    </w:rPr>
  </w:style>
  <w:style w:type="paragraph" w:customStyle="1" w:styleId="Postadres">
    <w:name w:val="Postadres"/>
    <w:basedOn w:val="Standaard"/>
    <w:link w:val="PostadresChar"/>
    <w:rsid w:val="007E2E9E"/>
    <w:pPr>
      <w:spacing w:line="240" w:lineRule="atLeast"/>
    </w:pPr>
    <w:rPr>
      <w:lang w:val="x-none"/>
    </w:rPr>
  </w:style>
  <w:style w:type="paragraph" w:customStyle="1" w:styleId="Bijtitel">
    <w:name w:val="Bijtitel"/>
    <w:basedOn w:val="Standaard"/>
    <w:next w:val="Standaard"/>
    <w:rsid w:val="002D0A8D"/>
    <w:pPr>
      <w:keepNext/>
      <w:keepLines/>
      <w:tabs>
        <w:tab w:val="left" w:pos="6577"/>
      </w:tabs>
      <w:spacing w:after="600" w:line="240" w:lineRule="atLeast"/>
      <w:outlineLvl w:val="0"/>
    </w:pPr>
    <w:rPr>
      <w:rFonts w:ascii="Arial Narrow" w:hAnsi="Arial Narrow"/>
      <w:spacing w:val="6"/>
      <w:sz w:val="24"/>
      <w:szCs w:val="20"/>
      <w:lang w:eastAsia="nl-BE"/>
    </w:rPr>
  </w:style>
  <w:style w:type="table" w:styleId="Tabelraster">
    <w:name w:val="Table Grid"/>
    <w:basedOn w:val="Standaardtabel"/>
    <w:uiPriority w:val="39"/>
    <w:rsid w:val="00EC0FDD"/>
    <w:tblPr>
      <w:tblBorders>
        <w:top w:val="single" w:sz="4" w:space="0" w:color="AAAA99"/>
        <w:left w:val="single" w:sz="4" w:space="0" w:color="AAAA99"/>
        <w:bottom w:val="single" w:sz="4" w:space="0" w:color="AAAA99"/>
        <w:right w:val="single" w:sz="4" w:space="0" w:color="AAAA99"/>
        <w:insideH w:val="single" w:sz="4" w:space="0" w:color="AAAA99"/>
        <w:insideV w:val="single" w:sz="4" w:space="0" w:color="AAAA99"/>
      </w:tblBorders>
    </w:tblPr>
  </w:style>
  <w:style w:type="character" w:customStyle="1" w:styleId="LijstnummeringChar">
    <w:name w:val="Lijstnummering Char"/>
    <w:link w:val="Lijstnummering"/>
    <w:rsid w:val="00A95E1B"/>
    <w:rPr>
      <w:color w:val="585849"/>
      <w:szCs w:val="12"/>
      <w:lang w:val="x-none" w:eastAsia="nl-NL"/>
    </w:rPr>
  </w:style>
  <w:style w:type="character" w:styleId="Tekstvantijdelijkeaanduiding">
    <w:name w:val="Placeholder Text"/>
    <w:uiPriority w:val="99"/>
    <w:semiHidden/>
    <w:rsid w:val="00255B5D"/>
    <w:rPr>
      <w:color w:val="808080"/>
    </w:rPr>
  </w:style>
  <w:style w:type="character" w:customStyle="1" w:styleId="PostadresChar">
    <w:name w:val="Postadres Char"/>
    <w:link w:val="Postadres"/>
    <w:rsid w:val="00BC12C7"/>
    <w:rPr>
      <w:color w:val="585849"/>
      <w:sz w:val="20"/>
      <w:szCs w:val="12"/>
      <w:lang w:eastAsia="nl-NL"/>
    </w:rPr>
  </w:style>
  <w:style w:type="paragraph" w:customStyle="1" w:styleId="Over">
    <w:name w:val="Over"/>
    <w:basedOn w:val="Standaard"/>
    <w:link w:val="OverChar"/>
    <w:rsid w:val="007E2E9E"/>
    <w:pPr>
      <w:spacing w:after="180" w:line="240" w:lineRule="atLeast"/>
      <w:jc w:val="right"/>
    </w:pPr>
    <w:rPr>
      <w:b/>
      <w:sz w:val="24"/>
      <w:lang w:val="x-none"/>
    </w:rPr>
  </w:style>
  <w:style w:type="character" w:customStyle="1" w:styleId="OverChar">
    <w:name w:val="Over Char"/>
    <w:link w:val="Over"/>
    <w:rsid w:val="000F0F55"/>
    <w:rPr>
      <w:b/>
      <w:color w:val="585849"/>
      <w:sz w:val="24"/>
      <w:szCs w:val="12"/>
      <w:lang w:eastAsia="nl-NL"/>
    </w:rPr>
  </w:style>
  <w:style w:type="character" w:styleId="Hyperlink">
    <w:name w:val="Hyperlink"/>
    <w:rsid w:val="007E2E9E"/>
    <w:rPr>
      <w:color w:val="773388"/>
      <w:u w:val="single"/>
    </w:rPr>
  </w:style>
  <w:style w:type="table" w:styleId="Elegantetabel">
    <w:name w:val="Table Elegant"/>
    <w:basedOn w:val="Standaardtabel"/>
    <w:locked/>
    <w:rsid w:val="00CC1014"/>
    <w:pPr>
      <w:spacing w:after="280" w:line="28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3D-effectenvoortabel1">
    <w:name w:val="Table 3D effects 1"/>
    <w:basedOn w:val="Standaardtabel"/>
    <w:locked/>
    <w:rsid w:val="00D46707"/>
    <w:pPr>
      <w:spacing w:after="280" w:line="28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customStyle="1" w:styleId="Beschrijving">
    <w:name w:val="Beschrijving"/>
    <w:basedOn w:val="Standaard"/>
    <w:next w:val="Standaard"/>
    <w:rsid w:val="007E2E9E"/>
    <w:pPr>
      <w:pBdr>
        <w:top w:val="dotted" w:sz="8" w:space="0" w:color="AAAA99"/>
        <w:bottom w:val="dotted" w:sz="8" w:space="1" w:color="AAAA99"/>
      </w:pBdr>
      <w:spacing w:after="480" w:line="200" w:lineRule="atLeast"/>
    </w:pPr>
    <w:rPr>
      <w:szCs w:val="20"/>
    </w:rPr>
  </w:style>
  <w:style w:type="table" w:styleId="3D-effectenvoortabel2">
    <w:name w:val="Table 3D effects 2"/>
    <w:basedOn w:val="Standaardtabel"/>
    <w:locked/>
    <w:rsid w:val="001B1AC8"/>
    <w:pPr>
      <w:spacing w:after="280" w:line="28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Professioneletabel">
    <w:name w:val="Table Professional"/>
    <w:basedOn w:val="Standaardtabel"/>
    <w:locked/>
    <w:rsid w:val="001B1AC8"/>
    <w:pPr>
      <w:spacing w:after="28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OpsommingChar">
    <w:name w:val="Opsomming Char"/>
    <w:link w:val="Opsomming"/>
    <w:rsid w:val="00A95E1B"/>
    <w:rPr>
      <w:color w:val="585849"/>
      <w:szCs w:val="12"/>
      <w:lang w:val="x-none" w:eastAsia="nl-NL"/>
    </w:rPr>
  </w:style>
  <w:style w:type="paragraph" w:styleId="Lijstopsomteken">
    <w:name w:val="List Bullet"/>
    <w:basedOn w:val="Standaard"/>
    <w:rsid w:val="00EA018D"/>
    <w:pPr>
      <w:numPr>
        <w:numId w:val="1"/>
      </w:numPr>
    </w:pPr>
  </w:style>
  <w:style w:type="numbering" w:customStyle="1" w:styleId="nummering-">
    <w:name w:val="nummering-"/>
    <w:basedOn w:val="Geenlijst"/>
    <w:rsid w:val="00EA018D"/>
    <w:pPr>
      <w:numPr>
        <w:numId w:val="3"/>
      </w:numPr>
    </w:pPr>
  </w:style>
  <w:style w:type="numbering" w:customStyle="1" w:styleId="Opsomming-">
    <w:name w:val="Opsomming-"/>
    <w:basedOn w:val="Geenlijst"/>
    <w:rsid w:val="00EA018D"/>
    <w:pPr>
      <w:numPr>
        <w:numId w:val="5"/>
      </w:numPr>
    </w:pPr>
  </w:style>
  <w:style w:type="paragraph" w:styleId="Lijstalinea">
    <w:name w:val="List Paragraph"/>
    <w:basedOn w:val="Standaard"/>
    <w:uiPriority w:val="34"/>
    <w:qFormat/>
    <w:rsid w:val="00DE49AE"/>
    <w:pPr>
      <w:ind w:left="709"/>
    </w:pPr>
  </w:style>
  <w:style w:type="character" w:styleId="GevolgdeHyperlink">
    <w:name w:val="FollowedHyperlink"/>
    <w:rsid w:val="002505C3"/>
    <w:rPr>
      <w:color w:val="800080"/>
      <w:u w:val="single"/>
    </w:rPr>
  </w:style>
  <w:style w:type="character" w:styleId="Verwijzingopmerking">
    <w:name w:val="annotation reference"/>
    <w:rsid w:val="00C31ED6"/>
    <w:rPr>
      <w:sz w:val="16"/>
      <w:szCs w:val="16"/>
    </w:rPr>
  </w:style>
  <w:style w:type="paragraph" w:styleId="Tekstopmerking">
    <w:name w:val="annotation text"/>
    <w:basedOn w:val="Standaard"/>
    <w:link w:val="TekstopmerkingChar"/>
    <w:rsid w:val="00C31ED6"/>
    <w:rPr>
      <w:szCs w:val="20"/>
    </w:rPr>
  </w:style>
  <w:style w:type="character" w:customStyle="1" w:styleId="TekstopmerkingChar">
    <w:name w:val="Tekst opmerking Char"/>
    <w:link w:val="Tekstopmerking"/>
    <w:rsid w:val="00C31ED6"/>
    <w:rPr>
      <w:color w:val="585849"/>
      <w:lang w:eastAsia="nl-NL"/>
    </w:rPr>
  </w:style>
  <w:style w:type="paragraph" w:styleId="Onderwerpvanopmerking">
    <w:name w:val="annotation subject"/>
    <w:basedOn w:val="Tekstopmerking"/>
    <w:next w:val="Tekstopmerking"/>
    <w:link w:val="OnderwerpvanopmerkingChar"/>
    <w:rsid w:val="00C31ED6"/>
    <w:rPr>
      <w:b/>
      <w:bCs/>
    </w:rPr>
  </w:style>
  <w:style w:type="character" w:customStyle="1" w:styleId="OnderwerpvanopmerkingChar">
    <w:name w:val="Onderwerp van opmerking Char"/>
    <w:link w:val="Onderwerpvanopmerking"/>
    <w:rsid w:val="00C31ED6"/>
    <w:rPr>
      <w:b/>
      <w:bCs/>
      <w:color w:val="585849"/>
      <w:lang w:eastAsia="nl-NL"/>
    </w:rPr>
  </w:style>
  <w:style w:type="character" w:customStyle="1" w:styleId="Vermelding1">
    <w:name w:val="Vermelding1"/>
    <w:uiPriority w:val="99"/>
    <w:semiHidden/>
    <w:unhideWhenUsed/>
    <w:rsid w:val="00F93C06"/>
    <w:rPr>
      <w:color w:val="2B579A"/>
      <w:shd w:val="clear" w:color="auto" w:fill="E6E6E6"/>
    </w:rPr>
  </w:style>
  <w:style w:type="paragraph" w:styleId="Voetnoottekst">
    <w:name w:val="footnote text"/>
    <w:basedOn w:val="Standaard"/>
    <w:link w:val="VoetnoottekstChar"/>
    <w:rsid w:val="00280561"/>
    <w:rPr>
      <w:szCs w:val="20"/>
    </w:rPr>
  </w:style>
  <w:style w:type="character" w:customStyle="1" w:styleId="VoetnoottekstChar">
    <w:name w:val="Voetnoottekst Char"/>
    <w:link w:val="Voetnoottekst"/>
    <w:rsid w:val="00280561"/>
    <w:rPr>
      <w:color w:val="585849"/>
      <w:lang w:val="nl-BE"/>
    </w:rPr>
  </w:style>
  <w:style w:type="character" w:styleId="Voetnootmarkering">
    <w:name w:val="footnote reference"/>
    <w:rsid w:val="0028056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82629">
      <w:bodyDiv w:val="1"/>
      <w:marLeft w:val="0"/>
      <w:marRight w:val="0"/>
      <w:marTop w:val="0"/>
      <w:marBottom w:val="0"/>
      <w:divBdr>
        <w:top w:val="none" w:sz="0" w:space="0" w:color="auto"/>
        <w:left w:val="none" w:sz="0" w:space="0" w:color="auto"/>
        <w:bottom w:val="none" w:sz="0" w:space="0" w:color="auto"/>
        <w:right w:val="none" w:sz="0" w:space="0" w:color="auto"/>
      </w:divBdr>
    </w:div>
    <w:div w:id="32652484">
      <w:bodyDiv w:val="1"/>
      <w:marLeft w:val="0"/>
      <w:marRight w:val="0"/>
      <w:marTop w:val="0"/>
      <w:marBottom w:val="0"/>
      <w:divBdr>
        <w:top w:val="none" w:sz="0" w:space="0" w:color="auto"/>
        <w:left w:val="none" w:sz="0" w:space="0" w:color="auto"/>
        <w:bottom w:val="none" w:sz="0" w:space="0" w:color="auto"/>
        <w:right w:val="none" w:sz="0" w:space="0" w:color="auto"/>
      </w:divBdr>
    </w:div>
    <w:div w:id="270668177">
      <w:bodyDiv w:val="1"/>
      <w:marLeft w:val="0"/>
      <w:marRight w:val="0"/>
      <w:marTop w:val="0"/>
      <w:marBottom w:val="0"/>
      <w:divBdr>
        <w:top w:val="none" w:sz="0" w:space="0" w:color="auto"/>
        <w:left w:val="none" w:sz="0" w:space="0" w:color="auto"/>
        <w:bottom w:val="none" w:sz="0" w:space="0" w:color="auto"/>
        <w:right w:val="none" w:sz="0" w:space="0" w:color="auto"/>
      </w:divBdr>
    </w:div>
    <w:div w:id="282855974">
      <w:bodyDiv w:val="1"/>
      <w:marLeft w:val="0"/>
      <w:marRight w:val="0"/>
      <w:marTop w:val="0"/>
      <w:marBottom w:val="0"/>
      <w:divBdr>
        <w:top w:val="none" w:sz="0" w:space="0" w:color="auto"/>
        <w:left w:val="none" w:sz="0" w:space="0" w:color="auto"/>
        <w:bottom w:val="none" w:sz="0" w:space="0" w:color="auto"/>
        <w:right w:val="none" w:sz="0" w:space="0" w:color="auto"/>
      </w:divBdr>
    </w:div>
    <w:div w:id="353502697">
      <w:bodyDiv w:val="1"/>
      <w:marLeft w:val="0"/>
      <w:marRight w:val="0"/>
      <w:marTop w:val="0"/>
      <w:marBottom w:val="0"/>
      <w:divBdr>
        <w:top w:val="none" w:sz="0" w:space="0" w:color="auto"/>
        <w:left w:val="none" w:sz="0" w:space="0" w:color="auto"/>
        <w:bottom w:val="none" w:sz="0" w:space="0" w:color="auto"/>
        <w:right w:val="none" w:sz="0" w:space="0" w:color="auto"/>
      </w:divBdr>
      <w:divsChild>
        <w:div w:id="2055226246">
          <w:marLeft w:val="0"/>
          <w:marRight w:val="0"/>
          <w:marTop w:val="0"/>
          <w:marBottom w:val="0"/>
          <w:divBdr>
            <w:top w:val="none" w:sz="0" w:space="0" w:color="auto"/>
            <w:left w:val="none" w:sz="0" w:space="0" w:color="auto"/>
            <w:bottom w:val="none" w:sz="0" w:space="0" w:color="auto"/>
            <w:right w:val="none" w:sz="0" w:space="0" w:color="auto"/>
          </w:divBdr>
          <w:divsChild>
            <w:div w:id="1391223021">
              <w:marLeft w:val="0"/>
              <w:marRight w:val="0"/>
              <w:marTop w:val="0"/>
              <w:marBottom w:val="0"/>
              <w:divBdr>
                <w:top w:val="none" w:sz="0" w:space="0" w:color="auto"/>
                <w:left w:val="none" w:sz="0" w:space="0" w:color="auto"/>
                <w:bottom w:val="none" w:sz="0" w:space="0" w:color="auto"/>
                <w:right w:val="none" w:sz="0" w:space="0" w:color="auto"/>
              </w:divBdr>
              <w:divsChild>
                <w:div w:id="1159231191">
                  <w:marLeft w:val="0"/>
                  <w:marRight w:val="0"/>
                  <w:marTop w:val="0"/>
                  <w:marBottom w:val="0"/>
                  <w:divBdr>
                    <w:top w:val="none" w:sz="0" w:space="0" w:color="auto"/>
                    <w:left w:val="none" w:sz="0" w:space="0" w:color="auto"/>
                    <w:bottom w:val="none" w:sz="0" w:space="0" w:color="auto"/>
                    <w:right w:val="none" w:sz="0" w:space="0" w:color="auto"/>
                  </w:divBdr>
                  <w:divsChild>
                    <w:div w:id="918059682">
                      <w:marLeft w:val="0"/>
                      <w:marRight w:val="0"/>
                      <w:marTop w:val="0"/>
                      <w:marBottom w:val="0"/>
                      <w:divBdr>
                        <w:top w:val="none" w:sz="0" w:space="0" w:color="auto"/>
                        <w:left w:val="none" w:sz="0" w:space="0" w:color="auto"/>
                        <w:bottom w:val="none" w:sz="0" w:space="0" w:color="auto"/>
                        <w:right w:val="none" w:sz="0" w:space="0" w:color="auto"/>
                      </w:divBdr>
                      <w:divsChild>
                        <w:div w:id="1915583211">
                          <w:marLeft w:val="0"/>
                          <w:marRight w:val="0"/>
                          <w:marTop w:val="0"/>
                          <w:marBottom w:val="0"/>
                          <w:divBdr>
                            <w:top w:val="none" w:sz="0" w:space="0" w:color="auto"/>
                            <w:left w:val="none" w:sz="0" w:space="0" w:color="auto"/>
                            <w:bottom w:val="none" w:sz="0" w:space="0" w:color="auto"/>
                            <w:right w:val="none" w:sz="0" w:space="0" w:color="auto"/>
                          </w:divBdr>
                          <w:divsChild>
                            <w:div w:id="623123808">
                              <w:marLeft w:val="0"/>
                              <w:marRight w:val="0"/>
                              <w:marTop w:val="0"/>
                              <w:marBottom w:val="0"/>
                              <w:divBdr>
                                <w:top w:val="none" w:sz="0" w:space="0" w:color="auto"/>
                                <w:left w:val="none" w:sz="0" w:space="0" w:color="auto"/>
                                <w:bottom w:val="none" w:sz="0" w:space="0" w:color="auto"/>
                                <w:right w:val="none" w:sz="0" w:space="0" w:color="auto"/>
                              </w:divBdr>
                              <w:divsChild>
                                <w:div w:id="1703745285">
                                  <w:marLeft w:val="0"/>
                                  <w:marRight w:val="0"/>
                                  <w:marTop w:val="0"/>
                                  <w:marBottom w:val="0"/>
                                  <w:divBdr>
                                    <w:top w:val="none" w:sz="0" w:space="0" w:color="auto"/>
                                    <w:left w:val="none" w:sz="0" w:space="0" w:color="auto"/>
                                    <w:bottom w:val="none" w:sz="0" w:space="0" w:color="auto"/>
                                    <w:right w:val="none" w:sz="0" w:space="0" w:color="auto"/>
                                  </w:divBdr>
                                  <w:divsChild>
                                    <w:div w:id="637414619">
                                      <w:marLeft w:val="0"/>
                                      <w:marRight w:val="0"/>
                                      <w:marTop w:val="0"/>
                                      <w:marBottom w:val="0"/>
                                      <w:divBdr>
                                        <w:top w:val="none" w:sz="0" w:space="0" w:color="auto"/>
                                        <w:left w:val="none" w:sz="0" w:space="0" w:color="auto"/>
                                        <w:bottom w:val="none" w:sz="0" w:space="0" w:color="auto"/>
                                        <w:right w:val="none" w:sz="0" w:space="0" w:color="auto"/>
                                      </w:divBdr>
                                      <w:divsChild>
                                        <w:div w:id="1219824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02530065">
      <w:bodyDiv w:val="1"/>
      <w:marLeft w:val="0"/>
      <w:marRight w:val="0"/>
      <w:marTop w:val="0"/>
      <w:marBottom w:val="0"/>
      <w:divBdr>
        <w:top w:val="none" w:sz="0" w:space="0" w:color="auto"/>
        <w:left w:val="none" w:sz="0" w:space="0" w:color="auto"/>
        <w:bottom w:val="none" w:sz="0" w:space="0" w:color="auto"/>
        <w:right w:val="none" w:sz="0" w:space="0" w:color="auto"/>
      </w:divBdr>
    </w:div>
    <w:div w:id="479619143">
      <w:bodyDiv w:val="1"/>
      <w:marLeft w:val="0"/>
      <w:marRight w:val="0"/>
      <w:marTop w:val="0"/>
      <w:marBottom w:val="0"/>
      <w:divBdr>
        <w:top w:val="none" w:sz="0" w:space="0" w:color="auto"/>
        <w:left w:val="none" w:sz="0" w:space="0" w:color="auto"/>
        <w:bottom w:val="none" w:sz="0" w:space="0" w:color="auto"/>
        <w:right w:val="none" w:sz="0" w:space="0" w:color="auto"/>
      </w:divBdr>
    </w:div>
    <w:div w:id="639651778">
      <w:bodyDiv w:val="1"/>
      <w:marLeft w:val="0"/>
      <w:marRight w:val="0"/>
      <w:marTop w:val="0"/>
      <w:marBottom w:val="0"/>
      <w:divBdr>
        <w:top w:val="none" w:sz="0" w:space="0" w:color="auto"/>
        <w:left w:val="none" w:sz="0" w:space="0" w:color="auto"/>
        <w:bottom w:val="none" w:sz="0" w:space="0" w:color="auto"/>
        <w:right w:val="none" w:sz="0" w:space="0" w:color="auto"/>
      </w:divBdr>
    </w:div>
    <w:div w:id="663440229">
      <w:bodyDiv w:val="1"/>
      <w:marLeft w:val="0"/>
      <w:marRight w:val="0"/>
      <w:marTop w:val="0"/>
      <w:marBottom w:val="0"/>
      <w:divBdr>
        <w:top w:val="none" w:sz="0" w:space="0" w:color="auto"/>
        <w:left w:val="none" w:sz="0" w:space="0" w:color="auto"/>
        <w:bottom w:val="none" w:sz="0" w:space="0" w:color="auto"/>
        <w:right w:val="none" w:sz="0" w:space="0" w:color="auto"/>
      </w:divBdr>
    </w:div>
    <w:div w:id="780535646">
      <w:bodyDiv w:val="1"/>
      <w:marLeft w:val="0"/>
      <w:marRight w:val="0"/>
      <w:marTop w:val="0"/>
      <w:marBottom w:val="0"/>
      <w:divBdr>
        <w:top w:val="none" w:sz="0" w:space="0" w:color="auto"/>
        <w:left w:val="none" w:sz="0" w:space="0" w:color="auto"/>
        <w:bottom w:val="none" w:sz="0" w:space="0" w:color="auto"/>
        <w:right w:val="none" w:sz="0" w:space="0" w:color="auto"/>
      </w:divBdr>
    </w:div>
    <w:div w:id="791170604">
      <w:bodyDiv w:val="1"/>
      <w:marLeft w:val="0"/>
      <w:marRight w:val="0"/>
      <w:marTop w:val="0"/>
      <w:marBottom w:val="0"/>
      <w:divBdr>
        <w:top w:val="none" w:sz="0" w:space="0" w:color="auto"/>
        <w:left w:val="none" w:sz="0" w:space="0" w:color="auto"/>
        <w:bottom w:val="none" w:sz="0" w:space="0" w:color="auto"/>
        <w:right w:val="none" w:sz="0" w:space="0" w:color="auto"/>
      </w:divBdr>
    </w:div>
    <w:div w:id="1052802821">
      <w:bodyDiv w:val="1"/>
      <w:marLeft w:val="0"/>
      <w:marRight w:val="0"/>
      <w:marTop w:val="0"/>
      <w:marBottom w:val="0"/>
      <w:divBdr>
        <w:top w:val="none" w:sz="0" w:space="0" w:color="auto"/>
        <w:left w:val="none" w:sz="0" w:space="0" w:color="auto"/>
        <w:bottom w:val="none" w:sz="0" w:space="0" w:color="auto"/>
        <w:right w:val="none" w:sz="0" w:space="0" w:color="auto"/>
      </w:divBdr>
    </w:div>
    <w:div w:id="1060178944">
      <w:bodyDiv w:val="1"/>
      <w:marLeft w:val="0"/>
      <w:marRight w:val="0"/>
      <w:marTop w:val="0"/>
      <w:marBottom w:val="0"/>
      <w:divBdr>
        <w:top w:val="none" w:sz="0" w:space="0" w:color="auto"/>
        <w:left w:val="none" w:sz="0" w:space="0" w:color="auto"/>
        <w:bottom w:val="none" w:sz="0" w:space="0" w:color="auto"/>
        <w:right w:val="none" w:sz="0" w:space="0" w:color="auto"/>
      </w:divBdr>
    </w:div>
    <w:div w:id="1192495062">
      <w:bodyDiv w:val="1"/>
      <w:marLeft w:val="0"/>
      <w:marRight w:val="0"/>
      <w:marTop w:val="0"/>
      <w:marBottom w:val="0"/>
      <w:divBdr>
        <w:top w:val="none" w:sz="0" w:space="0" w:color="auto"/>
        <w:left w:val="none" w:sz="0" w:space="0" w:color="auto"/>
        <w:bottom w:val="none" w:sz="0" w:space="0" w:color="auto"/>
        <w:right w:val="none" w:sz="0" w:space="0" w:color="auto"/>
      </w:divBdr>
    </w:div>
    <w:div w:id="1204561169">
      <w:bodyDiv w:val="1"/>
      <w:marLeft w:val="0"/>
      <w:marRight w:val="0"/>
      <w:marTop w:val="0"/>
      <w:marBottom w:val="0"/>
      <w:divBdr>
        <w:top w:val="none" w:sz="0" w:space="0" w:color="auto"/>
        <w:left w:val="none" w:sz="0" w:space="0" w:color="auto"/>
        <w:bottom w:val="none" w:sz="0" w:space="0" w:color="auto"/>
        <w:right w:val="none" w:sz="0" w:space="0" w:color="auto"/>
      </w:divBdr>
    </w:div>
    <w:div w:id="1279096798">
      <w:bodyDiv w:val="1"/>
      <w:marLeft w:val="0"/>
      <w:marRight w:val="0"/>
      <w:marTop w:val="0"/>
      <w:marBottom w:val="0"/>
      <w:divBdr>
        <w:top w:val="none" w:sz="0" w:space="0" w:color="auto"/>
        <w:left w:val="none" w:sz="0" w:space="0" w:color="auto"/>
        <w:bottom w:val="none" w:sz="0" w:space="0" w:color="auto"/>
        <w:right w:val="none" w:sz="0" w:space="0" w:color="auto"/>
      </w:divBdr>
    </w:div>
    <w:div w:id="1335113939">
      <w:bodyDiv w:val="1"/>
      <w:marLeft w:val="0"/>
      <w:marRight w:val="0"/>
      <w:marTop w:val="0"/>
      <w:marBottom w:val="0"/>
      <w:divBdr>
        <w:top w:val="none" w:sz="0" w:space="0" w:color="auto"/>
        <w:left w:val="none" w:sz="0" w:space="0" w:color="auto"/>
        <w:bottom w:val="none" w:sz="0" w:space="0" w:color="auto"/>
        <w:right w:val="none" w:sz="0" w:space="0" w:color="auto"/>
      </w:divBdr>
    </w:div>
    <w:div w:id="1401440848">
      <w:bodyDiv w:val="1"/>
      <w:marLeft w:val="0"/>
      <w:marRight w:val="0"/>
      <w:marTop w:val="0"/>
      <w:marBottom w:val="0"/>
      <w:divBdr>
        <w:top w:val="none" w:sz="0" w:space="0" w:color="auto"/>
        <w:left w:val="none" w:sz="0" w:space="0" w:color="auto"/>
        <w:bottom w:val="none" w:sz="0" w:space="0" w:color="auto"/>
        <w:right w:val="none" w:sz="0" w:space="0" w:color="auto"/>
      </w:divBdr>
    </w:div>
    <w:div w:id="1618289363">
      <w:bodyDiv w:val="1"/>
      <w:marLeft w:val="0"/>
      <w:marRight w:val="0"/>
      <w:marTop w:val="0"/>
      <w:marBottom w:val="0"/>
      <w:divBdr>
        <w:top w:val="none" w:sz="0" w:space="0" w:color="auto"/>
        <w:left w:val="none" w:sz="0" w:space="0" w:color="auto"/>
        <w:bottom w:val="none" w:sz="0" w:space="0" w:color="auto"/>
        <w:right w:val="none" w:sz="0" w:space="0" w:color="auto"/>
      </w:divBdr>
    </w:div>
    <w:div w:id="1648245371">
      <w:bodyDiv w:val="1"/>
      <w:marLeft w:val="0"/>
      <w:marRight w:val="0"/>
      <w:marTop w:val="0"/>
      <w:marBottom w:val="0"/>
      <w:divBdr>
        <w:top w:val="none" w:sz="0" w:space="0" w:color="auto"/>
        <w:left w:val="none" w:sz="0" w:space="0" w:color="auto"/>
        <w:bottom w:val="none" w:sz="0" w:space="0" w:color="auto"/>
        <w:right w:val="none" w:sz="0" w:space="0" w:color="auto"/>
      </w:divBdr>
    </w:div>
    <w:div w:id="1949311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vsg.be/sociaal_beleid_en_werk/Vreemdelingen/Documents/2018%2002%2021%20oproep%20LOI%20reserves.pdf"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vvsg.be/sociaal_beleid_en_werk/Vreemdelingen/Documents/2018%2007%2006%20Informatieve%20Nota%20afbouw%20LOI.docx" TargetMode="Externa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DF7C1C-E28B-428E-A032-426416C055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2595</Words>
  <Characters>14636</Characters>
  <Application>Microsoft Office Word</Application>
  <DocSecurity>0</DocSecurity>
  <Lines>121</Lines>
  <Paragraphs>34</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17197</CharactersWithSpaces>
  <SharedDoc>false</SharedDoc>
  <HLinks>
    <vt:vector size="6" baseType="variant">
      <vt:variant>
        <vt:i4>655385</vt:i4>
      </vt:variant>
      <vt:variant>
        <vt:i4>0</vt:i4>
      </vt:variant>
      <vt:variant>
        <vt:i4>0</vt:i4>
      </vt:variant>
      <vt:variant>
        <vt:i4>5</vt:i4>
      </vt:variant>
      <vt:variant>
        <vt:lpwstr>http://www.mi-is.be/sites/default/files/documents/2016-02-19_studie_harmonisatie_volledig_nederlands.pdf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2018-07-10T10:22:00Z</dcterms:created>
  <dcterms:modified xsi:type="dcterms:W3CDTF">2018-07-10T10:39:00Z</dcterms:modified>
</cp:coreProperties>
</file>