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5C622" w14:textId="77777777" w:rsidR="003362F5" w:rsidRPr="003362F5" w:rsidRDefault="003362F5" w:rsidP="003362F5">
      <w:pPr>
        <w:rPr>
          <w:lang w:val="nl-NL"/>
        </w:rPr>
      </w:pPr>
      <w:r w:rsidRPr="003362F5">
        <w:rPr>
          <w:lang w:val="nl-NL"/>
        </w:rPr>
        <w:t>Mevrouw/Mijnheer de Burgemeester,</w:t>
      </w:r>
    </w:p>
    <w:p w14:paraId="071EE49D" w14:textId="77777777" w:rsidR="003362F5" w:rsidRPr="003362F5" w:rsidRDefault="003362F5" w:rsidP="003362F5">
      <w:pPr>
        <w:rPr>
          <w:lang w:val="nl-NL"/>
        </w:rPr>
      </w:pPr>
    </w:p>
    <w:p w14:paraId="473521D8" w14:textId="77777777" w:rsidR="003362F5" w:rsidRDefault="003362F5" w:rsidP="003362F5">
      <w:pPr>
        <w:rPr>
          <w:lang w:val="nl-BE"/>
        </w:rPr>
      </w:pPr>
      <w:r>
        <w:rPr>
          <w:lang w:val="nl-BE"/>
        </w:rPr>
        <w:t>De omzendbrief van 18 maart 2022 betreffende de controle van de kandidaat-</w:t>
      </w:r>
      <w:proofErr w:type="spellStart"/>
      <w:r>
        <w:rPr>
          <w:lang w:val="nl-BE"/>
        </w:rPr>
        <w:t>huisvesters</w:t>
      </w:r>
      <w:proofErr w:type="spellEnd"/>
      <w:r>
        <w:rPr>
          <w:lang w:val="nl-BE"/>
        </w:rPr>
        <w:t xml:space="preserve"> van personen die vluchten voor het gewapend conflict in Oekraïne voorziet in het voorleggen van een uittreksel uit het strafregister, afgeleverd op basis van artikel 595 van het Wetboek van Strafvordering.</w:t>
      </w:r>
    </w:p>
    <w:p w14:paraId="5C6027E5" w14:textId="77777777" w:rsidR="003362F5" w:rsidRDefault="003362F5" w:rsidP="003362F5">
      <w:pPr>
        <w:rPr>
          <w:lang w:val="nl-BE"/>
        </w:rPr>
      </w:pPr>
      <w:r>
        <w:rPr>
          <w:lang w:val="nl-BE"/>
        </w:rPr>
        <w:t>Er wordt bepaald dat, in een tweede stap, de door de burgemeester aangewezen persoon die verantwoordelijk is voor de verwerking van dat uittreksel, enkel rekening moet houden met de definitieve veroordelingen met betrekking tot de artikelen 322 tot en met 331</w:t>
      </w:r>
      <w:r>
        <w:rPr>
          <w:i/>
          <w:iCs/>
          <w:lang w:val="nl-BE"/>
        </w:rPr>
        <w:t>bis</w:t>
      </w:r>
      <w:r>
        <w:rPr>
          <w:lang w:val="nl-BE"/>
        </w:rPr>
        <w:t>, 347</w:t>
      </w:r>
      <w:r>
        <w:rPr>
          <w:i/>
          <w:iCs/>
          <w:lang w:val="nl-BE"/>
        </w:rPr>
        <w:t>bis</w:t>
      </w:r>
      <w:r>
        <w:rPr>
          <w:lang w:val="nl-BE"/>
        </w:rPr>
        <w:t>, 361 tot en met 363, 371/1 tot en met 389, 391</w:t>
      </w:r>
      <w:r>
        <w:rPr>
          <w:i/>
          <w:iCs/>
          <w:lang w:val="nl-BE"/>
        </w:rPr>
        <w:t>quater</w:t>
      </w:r>
      <w:r>
        <w:rPr>
          <w:lang w:val="nl-BE"/>
        </w:rPr>
        <w:t xml:space="preserve"> tot en met 442</w:t>
      </w:r>
      <w:r>
        <w:rPr>
          <w:i/>
          <w:iCs/>
          <w:lang w:val="nl-BE"/>
        </w:rPr>
        <w:t>quater</w:t>
      </w:r>
      <w:r>
        <w:rPr>
          <w:lang w:val="nl-BE"/>
        </w:rPr>
        <w:t xml:space="preserve"> en 454 tot 457 van het Strafwetboek en met alle bepalingen betreffende de jeugdbescherming.</w:t>
      </w:r>
    </w:p>
    <w:p w14:paraId="6FE76085" w14:textId="77777777" w:rsidR="003362F5" w:rsidRDefault="003362F5" w:rsidP="003362F5">
      <w:pPr>
        <w:rPr>
          <w:lang w:val="nl-BE"/>
        </w:rPr>
      </w:pPr>
    </w:p>
    <w:p w14:paraId="1A6EB07A" w14:textId="77777777" w:rsidR="003362F5" w:rsidRDefault="003362F5" w:rsidP="003362F5">
      <w:pPr>
        <w:rPr>
          <w:lang w:val="nl-BE"/>
        </w:rPr>
      </w:pPr>
      <w:r>
        <w:rPr>
          <w:lang w:val="nl-BE"/>
        </w:rPr>
        <w:t>Het Centraal Strafregister bezorgt uw diensten die verantwoordelijk zijn voor de toepassing van deze omzendbrief, een specifiek type uittreksel uit het strafregister voor het door de omzendbrief van 18 maart 2022 beoogde doel om dit werk van het sorteren van informatie te elimineren en hun taak te vergemakkelijken.</w:t>
      </w:r>
    </w:p>
    <w:p w14:paraId="2374EA00" w14:textId="77777777" w:rsidR="003362F5" w:rsidRDefault="003362F5" w:rsidP="003362F5">
      <w:pPr>
        <w:rPr>
          <w:lang w:val="nl-BE"/>
        </w:rPr>
      </w:pPr>
    </w:p>
    <w:p w14:paraId="5741C5E2" w14:textId="77777777" w:rsidR="003362F5" w:rsidRDefault="003362F5" w:rsidP="003362F5">
      <w:pPr>
        <w:rPr>
          <w:lang w:val="nl-BE"/>
        </w:rPr>
      </w:pPr>
      <w:r>
        <w:rPr>
          <w:lang w:val="nl-BE"/>
        </w:rPr>
        <w:t>Dit type uittreksel, " 596.1.37 ", bevat alleen de bovenvermelde informatie.  Daardoor is het dus mogelijk om direct te weten of de kandidatuur van de persoon in aanmerking kan worden genomen of niet.</w:t>
      </w:r>
    </w:p>
    <w:p w14:paraId="11515EAC" w14:textId="77777777" w:rsidR="003362F5" w:rsidRDefault="003362F5" w:rsidP="003362F5">
      <w:pPr>
        <w:rPr>
          <w:lang w:val="nl-BE"/>
        </w:rPr>
      </w:pPr>
    </w:p>
    <w:p w14:paraId="79A9B1B7" w14:textId="77777777" w:rsidR="003362F5" w:rsidRDefault="003362F5" w:rsidP="003362F5">
      <w:pPr>
        <w:rPr>
          <w:lang w:val="fr-FR"/>
        </w:rPr>
      </w:pPr>
      <w:proofErr w:type="spellStart"/>
      <w:r>
        <w:rPr>
          <w:lang w:val="fr-FR"/>
        </w:rPr>
        <w:t>Hoogachtend</w:t>
      </w:r>
      <w:proofErr w:type="spellEnd"/>
      <w:r>
        <w:rPr>
          <w:lang w:val="fr-FR"/>
        </w:rPr>
        <w:t>,</w:t>
      </w:r>
    </w:p>
    <w:p w14:paraId="7E13B363" w14:textId="77777777" w:rsidR="003362F5" w:rsidRDefault="003362F5" w:rsidP="003362F5">
      <w:pPr>
        <w:rPr>
          <w:lang w:val="nl-BE"/>
        </w:rPr>
      </w:pPr>
    </w:p>
    <w:tbl>
      <w:tblPr>
        <w:tblW w:w="5000" w:type="pct"/>
        <w:tblCellSpacing w:w="0" w:type="dxa"/>
        <w:tblCellMar>
          <w:left w:w="0" w:type="dxa"/>
          <w:right w:w="0" w:type="dxa"/>
        </w:tblCellMar>
        <w:tblLook w:val="04A0" w:firstRow="1" w:lastRow="0" w:firstColumn="1" w:lastColumn="0" w:noHBand="0" w:noVBand="1"/>
      </w:tblPr>
      <w:tblGrid>
        <w:gridCol w:w="3560"/>
        <w:gridCol w:w="6780"/>
        <w:gridCol w:w="126"/>
      </w:tblGrid>
      <w:tr w:rsidR="003362F5" w14:paraId="38505EAB" w14:textId="77777777" w:rsidTr="003362F5">
        <w:trPr>
          <w:tblCellSpacing w:w="0" w:type="dxa"/>
        </w:trPr>
        <w:tc>
          <w:tcPr>
            <w:tcW w:w="0" w:type="auto"/>
            <w:vAlign w:val="center"/>
            <w:hideMark/>
          </w:tcPr>
          <w:p w14:paraId="54D5CB2F" w14:textId="77777777" w:rsidR="003362F5" w:rsidRDefault="003362F5">
            <w:pPr>
              <w:spacing w:before="100" w:beforeAutospacing="1" w:after="100" w:afterAutospacing="1"/>
              <w:rPr>
                <w:rFonts w:ascii="Arial" w:hAnsi="Arial" w:cs="Arial"/>
                <w:color w:val="11417B"/>
                <w:sz w:val="20"/>
                <w:szCs w:val="20"/>
                <w:lang w:eastAsia="fr-FR"/>
              </w:rPr>
            </w:pPr>
            <w:r>
              <w:rPr>
                <w:rFonts w:ascii="Arial" w:hAnsi="Arial" w:cs="Arial"/>
                <w:b/>
                <w:bCs/>
                <w:color w:val="11417B"/>
                <w:sz w:val="20"/>
                <w:szCs w:val="20"/>
                <w:lang w:eastAsia="fr-FR"/>
              </w:rPr>
              <w:t>Vincent Cambier</w:t>
            </w:r>
            <w:r>
              <w:rPr>
                <w:rFonts w:ascii="Arial" w:hAnsi="Arial" w:cs="Arial"/>
                <w:color w:val="11417B"/>
                <w:sz w:val="20"/>
                <w:szCs w:val="20"/>
                <w:lang w:eastAsia="fr-FR"/>
              </w:rPr>
              <w:br/>
            </w:r>
            <w:proofErr w:type="spellStart"/>
            <w:r>
              <w:rPr>
                <w:rFonts w:ascii="Arial" w:hAnsi="Arial" w:cs="Arial"/>
                <w:color w:val="11417B"/>
                <w:sz w:val="20"/>
                <w:szCs w:val="20"/>
                <w:lang w:eastAsia="fr-FR"/>
              </w:rPr>
              <w:t>Diensthoofd</w:t>
            </w:r>
            <w:proofErr w:type="spellEnd"/>
          </w:p>
        </w:tc>
        <w:tc>
          <w:tcPr>
            <w:tcW w:w="0" w:type="auto"/>
            <w:vAlign w:val="bottom"/>
            <w:hideMark/>
          </w:tcPr>
          <w:p w14:paraId="28E0AB68" w14:textId="77777777" w:rsidR="003362F5" w:rsidRDefault="003362F5">
            <w:pPr>
              <w:jc w:val="right"/>
              <w:rPr>
                <w:rFonts w:ascii="Arial" w:hAnsi="Arial" w:cs="Arial"/>
                <w:color w:val="11417B"/>
                <w:sz w:val="20"/>
                <w:szCs w:val="20"/>
                <w:lang w:eastAsia="fr-FR"/>
              </w:rPr>
            </w:pPr>
            <w:r>
              <w:rPr>
                <w:rFonts w:ascii="Arial" w:hAnsi="Arial" w:cs="Arial"/>
                <w:noProof/>
                <w:color w:val="11417B"/>
                <w:sz w:val="20"/>
                <w:szCs w:val="20"/>
              </w:rPr>
              <w:drawing>
                <wp:inline distT="0" distB="0" distL="0" distR="0" wp14:anchorId="61CD78AC" wp14:editId="229B5BB1">
                  <wp:extent cx="166370" cy="166370"/>
                  <wp:effectExtent l="0" t="0" r="5080" b="5080"/>
                  <wp:docPr id="6" name="Picture 6" descr="Instagram">
                    <a:hlinkClick xmlns:a="http://schemas.openxmlformats.org/drawingml/2006/main" r:id="rId4" invalidUrl="htt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Instagram"/>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rFonts w:ascii="Arial" w:hAnsi="Arial" w:cs="Arial"/>
                <w:color w:val="11417B"/>
                <w:sz w:val="20"/>
                <w:szCs w:val="20"/>
                <w:lang w:eastAsia="fr-FR"/>
              </w:rPr>
              <w:t> </w:t>
            </w:r>
            <w:r>
              <w:rPr>
                <w:rFonts w:ascii="Arial" w:hAnsi="Arial" w:cs="Arial"/>
                <w:color w:val="11417B"/>
                <w:sz w:val="20"/>
                <w:szCs w:val="20"/>
                <w:lang w:eastAsia="fr-FR"/>
              </w:rPr>
              <w:t> </w:t>
            </w:r>
            <w:r>
              <w:rPr>
                <w:rFonts w:ascii="Arial" w:hAnsi="Arial" w:cs="Arial"/>
                <w:color w:val="11417B"/>
                <w:sz w:val="20"/>
                <w:szCs w:val="20"/>
                <w:lang w:eastAsia="fr-FR"/>
              </w:rPr>
              <w:t xml:space="preserve"> </w:t>
            </w:r>
            <w:r>
              <w:rPr>
                <w:rFonts w:ascii="Arial" w:hAnsi="Arial" w:cs="Arial"/>
                <w:noProof/>
                <w:color w:val="11417B"/>
                <w:sz w:val="20"/>
                <w:szCs w:val="20"/>
              </w:rPr>
              <w:drawing>
                <wp:inline distT="0" distB="0" distL="0" distR="0" wp14:anchorId="3D195CC8" wp14:editId="11094970">
                  <wp:extent cx="166370" cy="166370"/>
                  <wp:effectExtent l="0" t="0" r="5080" b="5080"/>
                  <wp:docPr id="5" name="Picture 5" descr="LinkedIn">
                    <a:hlinkClick xmlns:a="http://schemas.openxmlformats.org/drawingml/2006/main" r:id="rId7" invalidUrl="htt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LinkedIn"/>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rFonts w:ascii="Arial" w:hAnsi="Arial" w:cs="Arial"/>
                <w:color w:val="11417B"/>
                <w:sz w:val="20"/>
                <w:szCs w:val="20"/>
                <w:lang w:eastAsia="fr-FR"/>
              </w:rPr>
              <w:t> </w:t>
            </w:r>
            <w:r>
              <w:rPr>
                <w:rFonts w:ascii="Arial" w:hAnsi="Arial" w:cs="Arial"/>
                <w:color w:val="11417B"/>
                <w:sz w:val="20"/>
                <w:szCs w:val="20"/>
                <w:lang w:eastAsia="fr-FR"/>
              </w:rPr>
              <w:t> </w:t>
            </w:r>
            <w:r>
              <w:rPr>
                <w:rFonts w:ascii="Arial" w:hAnsi="Arial" w:cs="Arial"/>
                <w:color w:val="11417B"/>
                <w:sz w:val="20"/>
                <w:szCs w:val="20"/>
                <w:lang w:eastAsia="fr-FR"/>
              </w:rPr>
              <w:t xml:space="preserve"> </w:t>
            </w:r>
            <w:r>
              <w:rPr>
                <w:rFonts w:ascii="Arial" w:hAnsi="Arial" w:cs="Arial"/>
                <w:noProof/>
                <w:color w:val="11417B"/>
                <w:sz w:val="20"/>
                <w:szCs w:val="20"/>
              </w:rPr>
              <w:drawing>
                <wp:inline distT="0" distB="0" distL="0" distR="0" wp14:anchorId="2C530CEE" wp14:editId="0923C5A1">
                  <wp:extent cx="166370" cy="154305"/>
                  <wp:effectExtent l="0" t="0" r="5080" b="0"/>
                  <wp:docPr id="4" name="Picture 4" descr="Twitter">
                    <a:hlinkClick xmlns:a="http://schemas.openxmlformats.org/drawingml/2006/main" r:id="rId10" invalidUrl="htt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Twitter"/>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66370" cy="154305"/>
                          </a:xfrm>
                          <a:prstGeom prst="rect">
                            <a:avLst/>
                          </a:prstGeom>
                          <a:noFill/>
                          <a:ln>
                            <a:noFill/>
                          </a:ln>
                        </pic:spPr>
                      </pic:pic>
                    </a:graphicData>
                  </a:graphic>
                </wp:inline>
              </w:drawing>
            </w:r>
            <w:r>
              <w:rPr>
                <w:rFonts w:ascii="Arial" w:hAnsi="Arial" w:cs="Arial"/>
                <w:color w:val="11417B"/>
                <w:sz w:val="20"/>
                <w:szCs w:val="20"/>
                <w:lang w:eastAsia="fr-FR"/>
              </w:rPr>
              <w:t> </w:t>
            </w:r>
            <w:r>
              <w:rPr>
                <w:rFonts w:ascii="Arial" w:hAnsi="Arial" w:cs="Arial"/>
                <w:color w:val="11417B"/>
                <w:sz w:val="20"/>
                <w:szCs w:val="20"/>
                <w:lang w:eastAsia="fr-FR"/>
              </w:rPr>
              <w:t> </w:t>
            </w:r>
            <w:r>
              <w:rPr>
                <w:rFonts w:ascii="Arial" w:hAnsi="Arial" w:cs="Arial"/>
                <w:color w:val="11417B"/>
                <w:sz w:val="20"/>
                <w:szCs w:val="20"/>
                <w:lang w:eastAsia="fr-FR"/>
              </w:rPr>
              <w:t xml:space="preserve"> </w:t>
            </w:r>
            <w:r>
              <w:rPr>
                <w:rFonts w:ascii="Arial" w:hAnsi="Arial" w:cs="Arial"/>
                <w:noProof/>
                <w:color w:val="11417B"/>
                <w:sz w:val="20"/>
                <w:szCs w:val="20"/>
              </w:rPr>
              <w:drawing>
                <wp:inline distT="0" distB="0" distL="0" distR="0" wp14:anchorId="3C6169AF" wp14:editId="00204142">
                  <wp:extent cx="83185" cy="178435"/>
                  <wp:effectExtent l="0" t="0" r="0" b="0"/>
                  <wp:docPr id="3" name="Picture 3" descr="Facebook">
                    <a:hlinkClick xmlns:a="http://schemas.openxmlformats.org/drawingml/2006/main" r:id="rId13" invalidUrl="htt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Facebook"/>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83185" cy="178435"/>
                          </a:xfrm>
                          <a:prstGeom prst="rect">
                            <a:avLst/>
                          </a:prstGeom>
                          <a:noFill/>
                          <a:ln>
                            <a:noFill/>
                          </a:ln>
                        </pic:spPr>
                      </pic:pic>
                    </a:graphicData>
                  </a:graphic>
                </wp:inline>
              </w:drawing>
            </w:r>
            <w:r>
              <w:rPr>
                <w:rFonts w:ascii="Arial" w:hAnsi="Arial" w:cs="Arial"/>
                <w:color w:val="11417B"/>
                <w:sz w:val="20"/>
                <w:szCs w:val="20"/>
                <w:lang w:eastAsia="fr-FR"/>
              </w:rPr>
              <w:t> </w:t>
            </w:r>
            <w:r>
              <w:rPr>
                <w:rFonts w:ascii="Arial" w:hAnsi="Arial" w:cs="Arial"/>
                <w:color w:val="11417B"/>
                <w:sz w:val="20"/>
                <w:szCs w:val="20"/>
                <w:lang w:eastAsia="fr-FR"/>
              </w:rPr>
              <w:t> </w:t>
            </w:r>
            <w:r>
              <w:rPr>
                <w:rFonts w:ascii="Arial" w:hAnsi="Arial" w:cs="Arial"/>
                <w:color w:val="11417B"/>
                <w:sz w:val="20"/>
                <w:szCs w:val="20"/>
                <w:lang w:eastAsia="fr-FR"/>
              </w:rPr>
              <w:t xml:space="preserve"> </w:t>
            </w:r>
            <w:r>
              <w:rPr>
                <w:rFonts w:ascii="Arial" w:hAnsi="Arial" w:cs="Arial"/>
                <w:noProof/>
                <w:color w:val="11417B"/>
                <w:sz w:val="20"/>
                <w:szCs w:val="20"/>
              </w:rPr>
              <w:drawing>
                <wp:inline distT="0" distB="0" distL="0" distR="0" wp14:anchorId="70743CEB" wp14:editId="3651E933">
                  <wp:extent cx="154305" cy="178435"/>
                  <wp:effectExtent l="0" t="0" r="0" b="0"/>
                  <wp:docPr id="2" name="Picture 2" descr="Youtube">
                    <a:hlinkClick xmlns:a="http://schemas.openxmlformats.org/drawingml/2006/main" r:id="rId16" invalidUrl="htt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Youtube"/>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54305" cy="178435"/>
                          </a:xfrm>
                          <a:prstGeom prst="rect">
                            <a:avLst/>
                          </a:prstGeom>
                          <a:noFill/>
                          <a:ln>
                            <a:noFill/>
                          </a:ln>
                        </pic:spPr>
                      </pic:pic>
                    </a:graphicData>
                  </a:graphic>
                </wp:inline>
              </w:drawing>
            </w:r>
          </w:p>
        </w:tc>
        <w:tc>
          <w:tcPr>
            <w:tcW w:w="0" w:type="auto"/>
            <w:vAlign w:val="center"/>
            <w:hideMark/>
          </w:tcPr>
          <w:p w14:paraId="4E1C8CBF" w14:textId="77777777" w:rsidR="003362F5" w:rsidRDefault="003362F5">
            <w:pPr>
              <w:rPr>
                <w:rFonts w:ascii="Arial" w:hAnsi="Arial" w:cs="Arial"/>
                <w:color w:val="11417B"/>
                <w:sz w:val="20"/>
                <w:szCs w:val="20"/>
                <w:lang w:eastAsia="fr-FR"/>
              </w:rPr>
            </w:pPr>
            <w:r>
              <w:rPr>
                <w:rFonts w:ascii="Arial" w:hAnsi="Arial" w:cs="Arial"/>
                <w:color w:val="11417B"/>
                <w:sz w:val="20"/>
                <w:szCs w:val="20"/>
                <w:lang w:eastAsia="fr-FR"/>
              </w:rPr>
              <w:t> </w:t>
            </w:r>
          </w:p>
        </w:tc>
      </w:tr>
    </w:tbl>
    <w:p w14:paraId="7E4C9372" w14:textId="77777777" w:rsidR="003362F5" w:rsidRDefault="000227C8" w:rsidP="003362F5">
      <w:pPr>
        <w:jc w:val="center"/>
        <w:rPr>
          <w:rFonts w:ascii="Arial" w:eastAsia="Times New Roman" w:hAnsi="Arial" w:cs="Arial"/>
          <w:color w:val="11417B"/>
          <w:sz w:val="20"/>
          <w:szCs w:val="20"/>
          <w:lang w:val="fr-FR" w:eastAsia="fr-FR"/>
        </w:rPr>
      </w:pPr>
      <w:r>
        <w:rPr>
          <w:rFonts w:ascii="Arial" w:eastAsia="Times New Roman" w:hAnsi="Arial" w:cs="Arial"/>
          <w:color w:val="11417B"/>
          <w:sz w:val="20"/>
          <w:szCs w:val="20"/>
          <w:lang w:val="fr-FR" w:eastAsia="fr-FR"/>
        </w:rPr>
        <w:pict w14:anchorId="7F6C2C0E">
          <v:rect id="_x0000_i1025" style="width:451.3pt;height:.75pt" o:hralign="center" o:hrstd="t" o:hrnoshade="t" o:hr="t" fillcolor="#ba1540" stroked="f"/>
        </w:pict>
      </w:r>
    </w:p>
    <w:tbl>
      <w:tblPr>
        <w:tblW w:w="5000" w:type="pct"/>
        <w:tblCellSpacing w:w="0" w:type="dxa"/>
        <w:tblCellMar>
          <w:left w:w="0" w:type="dxa"/>
          <w:right w:w="0" w:type="dxa"/>
        </w:tblCellMar>
        <w:tblLook w:val="04A0" w:firstRow="1" w:lastRow="0" w:firstColumn="1" w:lastColumn="0" w:noHBand="0" w:noVBand="1"/>
      </w:tblPr>
      <w:tblGrid>
        <w:gridCol w:w="916"/>
        <w:gridCol w:w="5788"/>
        <w:gridCol w:w="3569"/>
        <w:gridCol w:w="193"/>
      </w:tblGrid>
      <w:tr w:rsidR="003362F5" w14:paraId="078F5E94" w14:textId="77777777" w:rsidTr="003362F5">
        <w:trPr>
          <w:tblCellSpacing w:w="0" w:type="dxa"/>
        </w:trPr>
        <w:tc>
          <w:tcPr>
            <w:tcW w:w="975" w:type="dxa"/>
            <w:hideMark/>
          </w:tcPr>
          <w:p w14:paraId="5AC167A3" w14:textId="77777777" w:rsidR="003362F5" w:rsidRDefault="003362F5">
            <w:pPr>
              <w:spacing w:before="100" w:beforeAutospacing="1" w:after="100" w:afterAutospacing="1"/>
              <w:rPr>
                <w:rFonts w:ascii="Arial" w:hAnsi="Arial" w:cs="Arial"/>
                <w:color w:val="11417B"/>
                <w:sz w:val="20"/>
                <w:szCs w:val="20"/>
                <w:lang w:eastAsia="fr-FR"/>
              </w:rPr>
            </w:pPr>
            <w:r>
              <w:rPr>
                <w:rFonts w:ascii="Arial" w:hAnsi="Arial" w:cs="Arial"/>
                <w:noProof/>
                <w:color w:val="11417B"/>
                <w:sz w:val="20"/>
                <w:szCs w:val="20"/>
              </w:rPr>
              <w:drawing>
                <wp:inline distT="0" distB="0" distL="0" distR="0" wp14:anchorId="73E30FD1" wp14:editId="68E2B325">
                  <wp:extent cx="581660" cy="570230"/>
                  <wp:effectExtent l="0" t="0" r="0" b="1270"/>
                  <wp:docPr id="1" name="Picture 1" descr="Logo">
                    <a:hlinkClick xmlns:a="http://schemas.openxmlformats.org/drawingml/2006/main" r:id="rId19" invalidUrl="htt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ogo"/>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81660" cy="570230"/>
                          </a:xfrm>
                          <a:prstGeom prst="rect">
                            <a:avLst/>
                          </a:prstGeom>
                          <a:noFill/>
                          <a:ln>
                            <a:noFill/>
                          </a:ln>
                        </pic:spPr>
                      </pic:pic>
                    </a:graphicData>
                  </a:graphic>
                </wp:inline>
              </w:drawing>
            </w:r>
          </w:p>
        </w:tc>
        <w:tc>
          <w:tcPr>
            <w:tcW w:w="3000" w:type="pct"/>
            <w:hideMark/>
          </w:tcPr>
          <w:p w14:paraId="48B1AF5B" w14:textId="77777777" w:rsidR="003362F5" w:rsidRDefault="003362F5">
            <w:pPr>
              <w:spacing w:before="100" w:beforeAutospacing="1" w:after="100" w:afterAutospacing="1"/>
              <w:rPr>
                <w:rFonts w:ascii="Arial" w:hAnsi="Arial" w:cs="Arial"/>
                <w:color w:val="11417B"/>
                <w:sz w:val="20"/>
                <w:szCs w:val="20"/>
                <w:lang w:val="nl-BE" w:eastAsia="fr-FR"/>
              </w:rPr>
            </w:pPr>
            <w:r>
              <w:rPr>
                <w:rFonts w:ascii="Arial" w:hAnsi="Arial" w:cs="Arial"/>
                <w:b/>
                <w:bCs/>
                <w:color w:val="11417B"/>
                <w:sz w:val="20"/>
                <w:szCs w:val="20"/>
                <w:lang w:val="nl-BE" w:eastAsia="fr-FR"/>
              </w:rPr>
              <w:t>FOD Justitie</w:t>
            </w:r>
            <w:r>
              <w:rPr>
                <w:rFonts w:ascii="Arial" w:hAnsi="Arial" w:cs="Arial"/>
                <w:b/>
                <w:bCs/>
                <w:color w:val="11417B"/>
                <w:sz w:val="20"/>
                <w:szCs w:val="20"/>
                <w:lang w:val="nl-BE" w:eastAsia="fr-FR"/>
              </w:rPr>
              <w:br/>
            </w:r>
            <w:r>
              <w:rPr>
                <w:rFonts w:ascii="Arial" w:hAnsi="Arial" w:cs="Arial"/>
                <w:color w:val="11417B"/>
                <w:sz w:val="20"/>
                <w:szCs w:val="20"/>
                <w:lang w:val="nl-BE" w:eastAsia="fr-FR"/>
              </w:rPr>
              <w:t>Directoraat-generaal rechterlijke organisatie</w:t>
            </w:r>
            <w:r>
              <w:rPr>
                <w:rFonts w:ascii="Arial" w:hAnsi="Arial" w:cs="Arial"/>
                <w:b/>
                <w:bCs/>
                <w:color w:val="11417B"/>
                <w:sz w:val="20"/>
                <w:szCs w:val="20"/>
                <w:lang w:val="nl-BE" w:eastAsia="fr-FR"/>
              </w:rPr>
              <w:br/>
            </w:r>
            <w:r>
              <w:rPr>
                <w:rFonts w:ascii="Arial" w:hAnsi="Arial" w:cs="Arial"/>
                <w:color w:val="11417B"/>
                <w:sz w:val="20"/>
                <w:szCs w:val="20"/>
                <w:lang w:val="nl-BE" w:eastAsia="fr-FR"/>
              </w:rPr>
              <w:t>Centraal Strafregister</w:t>
            </w:r>
          </w:p>
        </w:tc>
        <w:tc>
          <w:tcPr>
            <w:tcW w:w="1850" w:type="pct"/>
            <w:hideMark/>
          </w:tcPr>
          <w:p w14:paraId="63A11969" w14:textId="77777777" w:rsidR="003362F5" w:rsidRDefault="003362F5">
            <w:pPr>
              <w:spacing w:before="100" w:beforeAutospacing="1" w:after="100" w:afterAutospacing="1"/>
              <w:jc w:val="right"/>
              <w:rPr>
                <w:rFonts w:ascii="Arial" w:hAnsi="Arial" w:cs="Arial"/>
                <w:color w:val="11417B"/>
                <w:sz w:val="16"/>
                <w:szCs w:val="16"/>
                <w:lang w:eastAsia="fr-FR"/>
              </w:rPr>
            </w:pPr>
            <w:proofErr w:type="spellStart"/>
            <w:r>
              <w:rPr>
                <w:rFonts w:ascii="Arial" w:hAnsi="Arial" w:cs="Arial"/>
                <w:color w:val="11417B"/>
                <w:sz w:val="16"/>
                <w:szCs w:val="16"/>
                <w:lang w:eastAsia="fr-FR"/>
              </w:rPr>
              <w:t>Waterloolaan</w:t>
            </w:r>
            <w:proofErr w:type="spellEnd"/>
            <w:r>
              <w:rPr>
                <w:rFonts w:ascii="Arial" w:hAnsi="Arial" w:cs="Arial"/>
                <w:color w:val="11417B"/>
                <w:sz w:val="16"/>
                <w:szCs w:val="16"/>
                <w:lang w:eastAsia="fr-FR"/>
              </w:rPr>
              <w:t xml:space="preserve"> 115, 1000 Brussel</w:t>
            </w:r>
            <w:r>
              <w:rPr>
                <w:rFonts w:ascii="Arial" w:hAnsi="Arial" w:cs="Arial"/>
                <w:color w:val="11417B"/>
                <w:sz w:val="16"/>
                <w:szCs w:val="16"/>
                <w:lang w:eastAsia="fr-FR"/>
              </w:rPr>
              <w:br/>
            </w:r>
            <w:r>
              <w:rPr>
                <w:rFonts w:ascii="Arial" w:hAnsi="Arial" w:cs="Arial"/>
                <w:color w:val="11417B"/>
                <w:sz w:val="16"/>
                <w:szCs w:val="16"/>
                <w:lang w:eastAsia="fr-FR"/>
              </w:rPr>
              <w:br/>
            </w:r>
            <w:r>
              <w:rPr>
                <w:rFonts w:ascii="Arial" w:hAnsi="Arial" w:cs="Arial"/>
                <w:color w:val="11417B"/>
                <w:sz w:val="16"/>
                <w:szCs w:val="16"/>
                <w:lang w:eastAsia="fr-FR"/>
              </w:rPr>
              <w:br/>
            </w:r>
            <w:hyperlink r:id="rId22" w:history="1">
              <w:r>
                <w:rPr>
                  <w:rStyle w:val="Hyperlink"/>
                  <w:rFonts w:ascii="Arial" w:hAnsi="Arial" w:cs="Arial"/>
                  <w:color w:val="11417B"/>
                  <w:sz w:val="16"/>
                  <w:szCs w:val="16"/>
                  <w:lang w:eastAsia="fr-FR"/>
                </w:rPr>
                <w:t>justice.belgium.be</w:t>
              </w:r>
            </w:hyperlink>
          </w:p>
        </w:tc>
        <w:tc>
          <w:tcPr>
            <w:tcW w:w="100" w:type="pct"/>
            <w:vAlign w:val="center"/>
            <w:hideMark/>
          </w:tcPr>
          <w:p w14:paraId="3658CBCE" w14:textId="77777777" w:rsidR="003362F5" w:rsidRDefault="003362F5">
            <w:pPr>
              <w:rPr>
                <w:rFonts w:ascii="Arial" w:hAnsi="Arial" w:cs="Arial"/>
                <w:color w:val="11417B"/>
                <w:sz w:val="20"/>
                <w:szCs w:val="20"/>
                <w:lang w:eastAsia="fr-FR"/>
              </w:rPr>
            </w:pPr>
            <w:r>
              <w:rPr>
                <w:rFonts w:ascii="Arial" w:hAnsi="Arial" w:cs="Arial"/>
                <w:color w:val="11417B"/>
                <w:sz w:val="20"/>
                <w:szCs w:val="20"/>
                <w:lang w:eastAsia="fr-FR"/>
              </w:rPr>
              <w:t> </w:t>
            </w:r>
          </w:p>
        </w:tc>
      </w:tr>
    </w:tbl>
    <w:p w14:paraId="222C04D9" w14:textId="77777777" w:rsidR="003362F5" w:rsidRDefault="003362F5" w:rsidP="003362F5">
      <w:pPr>
        <w:rPr>
          <w:lang w:val="fr-BE"/>
        </w:rPr>
      </w:pPr>
      <w:r>
        <w:rPr>
          <w:lang w:val="fr-BE"/>
        </w:rPr>
        <w:t>Madame/Monsieur le Bourgmestre,</w:t>
      </w:r>
    </w:p>
    <w:p w14:paraId="0DC2AB56" w14:textId="77777777" w:rsidR="003362F5" w:rsidRDefault="003362F5" w:rsidP="003362F5">
      <w:pPr>
        <w:rPr>
          <w:lang w:val="fr-BE"/>
        </w:rPr>
      </w:pPr>
    </w:p>
    <w:p w14:paraId="0033C60E" w14:textId="77777777" w:rsidR="003362F5" w:rsidRDefault="003362F5" w:rsidP="003362F5">
      <w:pPr>
        <w:rPr>
          <w:lang w:val="fr-BE"/>
        </w:rPr>
      </w:pPr>
      <w:r>
        <w:rPr>
          <w:lang w:val="fr-BE"/>
        </w:rPr>
        <w:t>La circulaire du 18 mars 2022 relative au contrôle des personnes candidates à l’hébergement des personnes fuyant le conflit armé en Ukraine prévoit la production d’un extrait de casier judiciaire, délivré sur la base de l’article 595 du code d’instruction criminelle.</w:t>
      </w:r>
    </w:p>
    <w:p w14:paraId="5D41C952" w14:textId="77777777" w:rsidR="003362F5" w:rsidRDefault="003362F5" w:rsidP="003362F5">
      <w:pPr>
        <w:rPr>
          <w:lang w:val="fr-BE"/>
        </w:rPr>
      </w:pPr>
      <w:r>
        <w:rPr>
          <w:lang w:val="fr-BE"/>
        </w:rPr>
        <w:t>Elle prévoit que, dans un deuxième temps, la personne désignée par le bourgmestre chargée du traitement de cet extrait, ne doit tenir compte que des seules condamnations définitives relatives aux articles 322 à 331</w:t>
      </w:r>
      <w:r>
        <w:rPr>
          <w:i/>
          <w:iCs/>
          <w:lang w:val="fr-BE"/>
        </w:rPr>
        <w:t>bis</w:t>
      </w:r>
      <w:r>
        <w:rPr>
          <w:lang w:val="fr-BE"/>
        </w:rPr>
        <w:t>, 347</w:t>
      </w:r>
      <w:r>
        <w:rPr>
          <w:i/>
          <w:iCs/>
          <w:lang w:val="fr-BE"/>
        </w:rPr>
        <w:t>bis</w:t>
      </w:r>
      <w:r>
        <w:rPr>
          <w:lang w:val="fr-BE"/>
        </w:rPr>
        <w:t>, 361 à 363, 371/1 à 389, 391</w:t>
      </w:r>
      <w:r>
        <w:rPr>
          <w:i/>
          <w:iCs/>
          <w:lang w:val="fr-BE"/>
        </w:rPr>
        <w:t>quater</w:t>
      </w:r>
      <w:r>
        <w:rPr>
          <w:lang w:val="fr-BE"/>
        </w:rPr>
        <w:t xml:space="preserve"> à 442</w:t>
      </w:r>
      <w:r>
        <w:rPr>
          <w:i/>
          <w:iCs/>
          <w:lang w:val="fr-BE"/>
        </w:rPr>
        <w:t>quater</w:t>
      </w:r>
      <w:r>
        <w:rPr>
          <w:lang w:val="fr-BE"/>
        </w:rPr>
        <w:t xml:space="preserve"> et 454 à 457 du code pénal ainsi que toutes dispositions relatives à la protection de la jeunesse.</w:t>
      </w:r>
    </w:p>
    <w:p w14:paraId="3FD53E82" w14:textId="77777777" w:rsidR="003362F5" w:rsidRDefault="003362F5" w:rsidP="003362F5">
      <w:pPr>
        <w:rPr>
          <w:lang w:val="fr-BE"/>
        </w:rPr>
      </w:pPr>
    </w:p>
    <w:p w14:paraId="72CBE2C8" w14:textId="77777777" w:rsidR="003362F5" w:rsidRDefault="003362F5" w:rsidP="003362F5">
      <w:pPr>
        <w:rPr>
          <w:lang w:val="fr-BE"/>
        </w:rPr>
      </w:pPr>
      <w:r>
        <w:rPr>
          <w:lang w:val="fr-BE"/>
        </w:rPr>
        <w:t>Afin de supprimer ce travail de tri des informations et de faciliter la tâche de vos services chargés d’appliquer cette circulaire, le Casier judiciaire central met à leur disposition un type d’extrait de casier judiciaire spécifique pour cette finalité prévue par la circulaire du 18 mars 2022.</w:t>
      </w:r>
    </w:p>
    <w:p w14:paraId="12C7FF88" w14:textId="77777777" w:rsidR="003362F5" w:rsidRDefault="003362F5" w:rsidP="003362F5">
      <w:pPr>
        <w:rPr>
          <w:lang w:val="fr-BE"/>
        </w:rPr>
      </w:pPr>
    </w:p>
    <w:p w14:paraId="1DA2B50A" w14:textId="77777777" w:rsidR="003362F5" w:rsidRDefault="003362F5" w:rsidP="003362F5">
      <w:pPr>
        <w:rPr>
          <w:lang w:val="fr-BE"/>
        </w:rPr>
      </w:pPr>
      <w:r>
        <w:rPr>
          <w:lang w:val="fr-BE"/>
        </w:rPr>
        <w:t>Ce type d’extrait, le « 596.1.37 », ne reprend que les informations prévues ci-avant.  Il permet donc de savoir directement si la candidature de la personne peut être retenue ou non.</w:t>
      </w:r>
    </w:p>
    <w:p w14:paraId="0607EFB1" w14:textId="77777777" w:rsidR="003362F5" w:rsidRDefault="003362F5" w:rsidP="003362F5">
      <w:pPr>
        <w:rPr>
          <w:lang w:val="fr-BE"/>
        </w:rPr>
      </w:pPr>
    </w:p>
    <w:p w14:paraId="79830F79" w14:textId="77777777" w:rsidR="003362F5" w:rsidRDefault="003362F5" w:rsidP="003362F5">
      <w:pPr>
        <w:rPr>
          <w:lang w:val="fr-FR"/>
        </w:rPr>
      </w:pPr>
      <w:r>
        <w:rPr>
          <w:lang w:val="fr-FR"/>
        </w:rPr>
        <w:t>Salutations distinguées,</w:t>
      </w:r>
    </w:p>
    <w:p w14:paraId="33F57B4F" w14:textId="77777777" w:rsidR="003362F5" w:rsidRDefault="003362F5" w:rsidP="003362F5">
      <w:pPr>
        <w:rPr>
          <w:lang w:val="fr-BE"/>
        </w:rPr>
      </w:pPr>
    </w:p>
    <w:p w14:paraId="6B886455" w14:textId="77777777" w:rsidR="003362F5" w:rsidRDefault="003362F5" w:rsidP="003362F5">
      <w:pPr>
        <w:rPr>
          <w:rFonts w:ascii="Arial" w:hAnsi="Arial" w:cs="Arial"/>
          <w:b/>
          <w:bCs/>
          <w:color w:val="11417B"/>
          <w:sz w:val="20"/>
          <w:szCs w:val="20"/>
          <w:lang w:val="fr-FR"/>
        </w:rPr>
      </w:pPr>
      <w:r>
        <w:rPr>
          <w:rFonts w:ascii="Arial" w:hAnsi="Arial" w:cs="Arial"/>
          <w:b/>
          <w:bCs/>
          <w:color w:val="11417B"/>
          <w:sz w:val="20"/>
          <w:szCs w:val="20"/>
          <w:lang w:val="fr-FR"/>
        </w:rPr>
        <w:t>Vincent Cambier</w:t>
      </w:r>
    </w:p>
    <w:tbl>
      <w:tblPr>
        <w:tblW w:w="5000" w:type="pct"/>
        <w:tblCellSpacing w:w="0" w:type="dxa"/>
        <w:tblCellMar>
          <w:left w:w="0" w:type="dxa"/>
          <w:right w:w="0" w:type="dxa"/>
        </w:tblCellMar>
        <w:tblLook w:val="04A0" w:firstRow="1" w:lastRow="0" w:firstColumn="1" w:lastColumn="0" w:noHBand="0" w:noVBand="1"/>
      </w:tblPr>
      <w:tblGrid>
        <w:gridCol w:w="3267"/>
        <w:gridCol w:w="7067"/>
        <w:gridCol w:w="132"/>
      </w:tblGrid>
      <w:tr w:rsidR="003362F5" w14:paraId="741D7FE8" w14:textId="77777777" w:rsidTr="003362F5">
        <w:trPr>
          <w:tblCellSpacing w:w="0" w:type="dxa"/>
        </w:trPr>
        <w:tc>
          <w:tcPr>
            <w:tcW w:w="0" w:type="auto"/>
            <w:vAlign w:val="center"/>
            <w:hideMark/>
          </w:tcPr>
          <w:p w14:paraId="6A7DFA87" w14:textId="77777777" w:rsidR="003362F5" w:rsidRDefault="003362F5">
            <w:pPr>
              <w:spacing w:before="100" w:beforeAutospacing="1" w:after="100" w:afterAutospacing="1"/>
              <w:rPr>
                <w:rFonts w:ascii="Arial" w:hAnsi="Arial" w:cs="Arial"/>
                <w:color w:val="11417B"/>
                <w:sz w:val="20"/>
                <w:szCs w:val="20"/>
                <w:lang w:eastAsia="fr-FR"/>
              </w:rPr>
            </w:pPr>
            <w:r>
              <w:rPr>
                <w:rFonts w:ascii="Arial" w:hAnsi="Arial" w:cs="Arial"/>
                <w:color w:val="11417B"/>
                <w:sz w:val="20"/>
                <w:szCs w:val="20"/>
                <w:lang w:eastAsia="fr-FR"/>
              </w:rPr>
              <w:t>Chef de service</w:t>
            </w:r>
          </w:p>
        </w:tc>
        <w:tc>
          <w:tcPr>
            <w:tcW w:w="0" w:type="auto"/>
            <w:vAlign w:val="bottom"/>
            <w:hideMark/>
          </w:tcPr>
          <w:p w14:paraId="7E00EB60" w14:textId="77777777" w:rsidR="003362F5" w:rsidRDefault="003362F5">
            <w:pPr>
              <w:jc w:val="right"/>
              <w:rPr>
                <w:rFonts w:ascii="Arial" w:hAnsi="Arial" w:cs="Arial"/>
                <w:color w:val="11417B"/>
                <w:sz w:val="20"/>
                <w:szCs w:val="20"/>
                <w:lang w:eastAsia="fr-FR"/>
              </w:rPr>
            </w:pPr>
            <w:r>
              <w:rPr>
                <w:rFonts w:ascii="Arial" w:hAnsi="Arial" w:cs="Arial"/>
                <w:noProof/>
                <w:color w:val="11417B"/>
                <w:sz w:val="20"/>
                <w:szCs w:val="20"/>
              </w:rPr>
              <w:drawing>
                <wp:inline distT="0" distB="0" distL="0" distR="0" wp14:anchorId="5BFF73C6" wp14:editId="72094AE5">
                  <wp:extent cx="166370" cy="166370"/>
                  <wp:effectExtent l="0" t="0" r="5080" b="5080"/>
                  <wp:docPr id="12" name="Picture 12" descr="Instagram">
                    <a:hlinkClick xmlns:a="http://schemas.openxmlformats.org/drawingml/2006/main" r:id="rId23" invalidUrl="htt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nstagram"/>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rFonts w:ascii="Arial" w:hAnsi="Arial" w:cs="Arial"/>
                <w:color w:val="11417B"/>
                <w:sz w:val="20"/>
                <w:szCs w:val="20"/>
                <w:lang w:eastAsia="fr-FR"/>
              </w:rPr>
              <w:t> </w:t>
            </w:r>
            <w:r>
              <w:rPr>
                <w:rFonts w:ascii="Arial" w:hAnsi="Arial" w:cs="Arial"/>
                <w:color w:val="11417B"/>
                <w:sz w:val="20"/>
                <w:szCs w:val="20"/>
                <w:lang w:eastAsia="fr-FR"/>
              </w:rPr>
              <w:t> </w:t>
            </w:r>
            <w:r>
              <w:rPr>
                <w:rFonts w:ascii="Arial" w:hAnsi="Arial" w:cs="Arial"/>
                <w:color w:val="11417B"/>
                <w:sz w:val="20"/>
                <w:szCs w:val="20"/>
                <w:lang w:eastAsia="fr-FR"/>
              </w:rPr>
              <w:t xml:space="preserve"> </w:t>
            </w:r>
            <w:r>
              <w:rPr>
                <w:rFonts w:ascii="Arial" w:hAnsi="Arial" w:cs="Arial"/>
                <w:noProof/>
                <w:color w:val="11417B"/>
                <w:sz w:val="20"/>
                <w:szCs w:val="20"/>
              </w:rPr>
              <w:drawing>
                <wp:inline distT="0" distB="0" distL="0" distR="0" wp14:anchorId="698B1678" wp14:editId="17E9ED5C">
                  <wp:extent cx="166370" cy="166370"/>
                  <wp:effectExtent l="0" t="0" r="5080" b="5080"/>
                  <wp:docPr id="11" name="Picture 11" descr="LinkedIn">
                    <a:hlinkClick xmlns:a="http://schemas.openxmlformats.org/drawingml/2006/main" r:id="rId24" invalidUrl="htt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inkedIn"/>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rFonts w:ascii="Arial" w:hAnsi="Arial" w:cs="Arial"/>
                <w:color w:val="11417B"/>
                <w:sz w:val="20"/>
                <w:szCs w:val="20"/>
                <w:lang w:eastAsia="fr-FR"/>
              </w:rPr>
              <w:t> </w:t>
            </w:r>
            <w:r>
              <w:rPr>
                <w:rFonts w:ascii="Arial" w:hAnsi="Arial" w:cs="Arial"/>
                <w:color w:val="11417B"/>
                <w:sz w:val="20"/>
                <w:szCs w:val="20"/>
                <w:lang w:eastAsia="fr-FR"/>
              </w:rPr>
              <w:t> </w:t>
            </w:r>
            <w:r>
              <w:rPr>
                <w:rFonts w:ascii="Arial" w:hAnsi="Arial" w:cs="Arial"/>
                <w:color w:val="11417B"/>
                <w:sz w:val="20"/>
                <w:szCs w:val="20"/>
                <w:lang w:eastAsia="fr-FR"/>
              </w:rPr>
              <w:t xml:space="preserve"> </w:t>
            </w:r>
            <w:r>
              <w:rPr>
                <w:rFonts w:ascii="Arial" w:hAnsi="Arial" w:cs="Arial"/>
                <w:noProof/>
                <w:color w:val="11417B"/>
                <w:sz w:val="20"/>
                <w:szCs w:val="20"/>
              </w:rPr>
              <w:drawing>
                <wp:inline distT="0" distB="0" distL="0" distR="0" wp14:anchorId="0443AE41" wp14:editId="3380A032">
                  <wp:extent cx="166370" cy="154305"/>
                  <wp:effectExtent l="0" t="0" r="5080" b="0"/>
                  <wp:docPr id="10" name="Picture 10" descr="Twitter">
                    <a:hlinkClick xmlns:a="http://schemas.openxmlformats.org/drawingml/2006/main" r:id="rId25" invalidUrl="htt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Twitter"/>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66370" cy="154305"/>
                          </a:xfrm>
                          <a:prstGeom prst="rect">
                            <a:avLst/>
                          </a:prstGeom>
                          <a:noFill/>
                          <a:ln>
                            <a:noFill/>
                          </a:ln>
                        </pic:spPr>
                      </pic:pic>
                    </a:graphicData>
                  </a:graphic>
                </wp:inline>
              </w:drawing>
            </w:r>
            <w:r>
              <w:rPr>
                <w:rFonts w:ascii="Arial" w:hAnsi="Arial" w:cs="Arial"/>
                <w:color w:val="11417B"/>
                <w:sz w:val="20"/>
                <w:szCs w:val="20"/>
                <w:lang w:eastAsia="fr-FR"/>
              </w:rPr>
              <w:t> </w:t>
            </w:r>
            <w:r>
              <w:rPr>
                <w:rFonts w:ascii="Arial" w:hAnsi="Arial" w:cs="Arial"/>
                <w:color w:val="11417B"/>
                <w:sz w:val="20"/>
                <w:szCs w:val="20"/>
                <w:lang w:eastAsia="fr-FR"/>
              </w:rPr>
              <w:t> </w:t>
            </w:r>
            <w:r>
              <w:rPr>
                <w:rFonts w:ascii="Arial" w:hAnsi="Arial" w:cs="Arial"/>
                <w:color w:val="11417B"/>
                <w:sz w:val="20"/>
                <w:szCs w:val="20"/>
                <w:lang w:eastAsia="fr-FR"/>
              </w:rPr>
              <w:t xml:space="preserve"> </w:t>
            </w:r>
            <w:r>
              <w:rPr>
                <w:rFonts w:ascii="Arial" w:hAnsi="Arial" w:cs="Arial"/>
                <w:noProof/>
                <w:color w:val="11417B"/>
                <w:sz w:val="20"/>
                <w:szCs w:val="20"/>
              </w:rPr>
              <w:drawing>
                <wp:inline distT="0" distB="0" distL="0" distR="0" wp14:anchorId="688E7AEC" wp14:editId="3D0EAAFE">
                  <wp:extent cx="83185" cy="178435"/>
                  <wp:effectExtent l="0" t="0" r="0" b="0"/>
                  <wp:docPr id="9" name="Picture 9" descr="Facebook">
                    <a:hlinkClick xmlns:a="http://schemas.openxmlformats.org/drawingml/2006/main" r:id="rId26" invalidUrl="htt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Facebook"/>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83185" cy="178435"/>
                          </a:xfrm>
                          <a:prstGeom prst="rect">
                            <a:avLst/>
                          </a:prstGeom>
                          <a:noFill/>
                          <a:ln>
                            <a:noFill/>
                          </a:ln>
                        </pic:spPr>
                      </pic:pic>
                    </a:graphicData>
                  </a:graphic>
                </wp:inline>
              </w:drawing>
            </w:r>
            <w:r>
              <w:rPr>
                <w:rFonts w:ascii="Arial" w:hAnsi="Arial" w:cs="Arial"/>
                <w:color w:val="11417B"/>
                <w:sz w:val="20"/>
                <w:szCs w:val="20"/>
                <w:lang w:eastAsia="fr-FR"/>
              </w:rPr>
              <w:t> </w:t>
            </w:r>
            <w:r>
              <w:rPr>
                <w:rFonts w:ascii="Arial" w:hAnsi="Arial" w:cs="Arial"/>
                <w:color w:val="11417B"/>
                <w:sz w:val="20"/>
                <w:szCs w:val="20"/>
                <w:lang w:eastAsia="fr-FR"/>
              </w:rPr>
              <w:t> </w:t>
            </w:r>
            <w:r>
              <w:rPr>
                <w:rFonts w:ascii="Arial" w:hAnsi="Arial" w:cs="Arial"/>
                <w:color w:val="11417B"/>
                <w:sz w:val="20"/>
                <w:szCs w:val="20"/>
                <w:lang w:eastAsia="fr-FR"/>
              </w:rPr>
              <w:t xml:space="preserve"> </w:t>
            </w:r>
            <w:r>
              <w:rPr>
                <w:rFonts w:ascii="Arial" w:hAnsi="Arial" w:cs="Arial"/>
                <w:noProof/>
                <w:color w:val="11417B"/>
                <w:sz w:val="20"/>
                <w:szCs w:val="20"/>
              </w:rPr>
              <w:drawing>
                <wp:inline distT="0" distB="0" distL="0" distR="0" wp14:anchorId="76C2A464" wp14:editId="24299388">
                  <wp:extent cx="154305" cy="178435"/>
                  <wp:effectExtent l="0" t="0" r="0" b="0"/>
                  <wp:docPr id="8" name="Picture 8" descr="Youtube">
                    <a:hlinkClick xmlns:a="http://schemas.openxmlformats.org/drawingml/2006/main" r:id="rId27" invalidUrl="htt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Youtube"/>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54305" cy="178435"/>
                          </a:xfrm>
                          <a:prstGeom prst="rect">
                            <a:avLst/>
                          </a:prstGeom>
                          <a:noFill/>
                          <a:ln>
                            <a:noFill/>
                          </a:ln>
                        </pic:spPr>
                      </pic:pic>
                    </a:graphicData>
                  </a:graphic>
                </wp:inline>
              </w:drawing>
            </w:r>
          </w:p>
        </w:tc>
        <w:tc>
          <w:tcPr>
            <w:tcW w:w="0" w:type="auto"/>
            <w:vAlign w:val="center"/>
            <w:hideMark/>
          </w:tcPr>
          <w:p w14:paraId="0452B605" w14:textId="77777777" w:rsidR="003362F5" w:rsidRDefault="003362F5">
            <w:pPr>
              <w:rPr>
                <w:rFonts w:ascii="Arial" w:hAnsi="Arial" w:cs="Arial"/>
                <w:color w:val="11417B"/>
                <w:sz w:val="20"/>
                <w:szCs w:val="20"/>
                <w:lang w:eastAsia="fr-FR"/>
              </w:rPr>
            </w:pPr>
            <w:r>
              <w:rPr>
                <w:rFonts w:ascii="Arial" w:hAnsi="Arial" w:cs="Arial"/>
                <w:color w:val="11417B"/>
                <w:sz w:val="20"/>
                <w:szCs w:val="20"/>
                <w:lang w:eastAsia="fr-FR"/>
              </w:rPr>
              <w:t> </w:t>
            </w:r>
          </w:p>
        </w:tc>
      </w:tr>
    </w:tbl>
    <w:p w14:paraId="2AC0D9EC" w14:textId="77777777" w:rsidR="003362F5" w:rsidRDefault="000227C8" w:rsidP="003362F5">
      <w:pPr>
        <w:jc w:val="center"/>
        <w:rPr>
          <w:rFonts w:ascii="Arial" w:eastAsia="Times New Roman" w:hAnsi="Arial" w:cs="Arial"/>
          <w:color w:val="11417B"/>
          <w:sz w:val="20"/>
          <w:szCs w:val="20"/>
          <w:lang w:val="fr-FR" w:eastAsia="fr-FR"/>
        </w:rPr>
      </w:pPr>
      <w:r>
        <w:rPr>
          <w:rFonts w:ascii="Arial" w:eastAsia="Times New Roman" w:hAnsi="Arial" w:cs="Arial"/>
          <w:color w:val="11417B"/>
          <w:sz w:val="20"/>
          <w:szCs w:val="20"/>
          <w:lang w:val="fr-FR" w:eastAsia="fr-FR"/>
        </w:rPr>
        <w:pict w14:anchorId="6A0D7DFA">
          <v:rect id="_x0000_i1026" style="width:451.3pt;height:.75pt" o:hralign="center" o:hrstd="t" o:hrnoshade="t" o:hr="t" fillcolor="#ba1540" stroked="f"/>
        </w:pict>
      </w:r>
    </w:p>
    <w:tbl>
      <w:tblPr>
        <w:tblW w:w="5000" w:type="pct"/>
        <w:tblCellSpacing w:w="0" w:type="dxa"/>
        <w:tblCellMar>
          <w:left w:w="0" w:type="dxa"/>
          <w:right w:w="0" w:type="dxa"/>
        </w:tblCellMar>
        <w:tblLook w:val="04A0" w:firstRow="1" w:lastRow="0" w:firstColumn="1" w:lastColumn="0" w:noHBand="0" w:noVBand="1"/>
      </w:tblPr>
      <w:tblGrid>
        <w:gridCol w:w="916"/>
        <w:gridCol w:w="5788"/>
        <w:gridCol w:w="3569"/>
        <w:gridCol w:w="193"/>
      </w:tblGrid>
      <w:tr w:rsidR="003362F5" w:rsidRPr="003362F5" w14:paraId="4B309358" w14:textId="77777777" w:rsidTr="003362F5">
        <w:trPr>
          <w:tblCellSpacing w:w="0" w:type="dxa"/>
        </w:trPr>
        <w:tc>
          <w:tcPr>
            <w:tcW w:w="975" w:type="dxa"/>
            <w:hideMark/>
          </w:tcPr>
          <w:p w14:paraId="43750947" w14:textId="77777777" w:rsidR="003362F5" w:rsidRDefault="003362F5">
            <w:pPr>
              <w:spacing w:before="100" w:beforeAutospacing="1" w:after="100" w:afterAutospacing="1"/>
              <w:rPr>
                <w:rFonts w:ascii="Arial" w:hAnsi="Arial" w:cs="Arial"/>
                <w:color w:val="11417B"/>
                <w:sz w:val="20"/>
                <w:szCs w:val="20"/>
                <w:lang w:eastAsia="fr-FR"/>
              </w:rPr>
            </w:pPr>
            <w:r>
              <w:rPr>
                <w:rFonts w:ascii="Arial" w:hAnsi="Arial" w:cs="Arial"/>
                <w:noProof/>
                <w:color w:val="11417B"/>
                <w:sz w:val="20"/>
                <w:szCs w:val="20"/>
              </w:rPr>
              <w:drawing>
                <wp:inline distT="0" distB="0" distL="0" distR="0" wp14:anchorId="22A6DB28" wp14:editId="76324041">
                  <wp:extent cx="581660" cy="570230"/>
                  <wp:effectExtent l="0" t="0" r="0" b="1270"/>
                  <wp:docPr id="7" name="Picture 7" descr="Logo">
                    <a:hlinkClick xmlns:a="http://schemas.openxmlformats.org/drawingml/2006/main" r:id="rId28" invalidUrl="htt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81660" cy="570230"/>
                          </a:xfrm>
                          <a:prstGeom prst="rect">
                            <a:avLst/>
                          </a:prstGeom>
                          <a:noFill/>
                          <a:ln>
                            <a:noFill/>
                          </a:ln>
                        </pic:spPr>
                      </pic:pic>
                    </a:graphicData>
                  </a:graphic>
                </wp:inline>
              </w:drawing>
            </w:r>
          </w:p>
        </w:tc>
        <w:tc>
          <w:tcPr>
            <w:tcW w:w="3000" w:type="pct"/>
            <w:hideMark/>
          </w:tcPr>
          <w:p w14:paraId="7BF1BAC3" w14:textId="77777777" w:rsidR="003362F5" w:rsidRPr="003362F5" w:rsidRDefault="003362F5">
            <w:pPr>
              <w:spacing w:before="100" w:beforeAutospacing="1" w:after="100" w:afterAutospacing="1"/>
              <w:rPr>
                <w:rFonts w:ascii="Arial" w:hAnsi="Arial" w:cs="Arial"/>
                <w:color w:val="11417B"/>
                <w:sz w:val="20"/>
                <w:szCs w:val="20"/>
                <w:lang w:val="fr-BE" w:eastAsia="fr-FR"/>
              </w:rPr>
            </w:pPr>
            <w:r w:rsidRPr="003362F5">
              <w:rPr>
                <w:rFonts w:ascii="Arial" w:hAnsi="Arial" w:cs="Arial"/>
                <w:b/>
                <w:bCs/>
                <w:color w:val="11417B"/>
                <w:sz w:val="20"/>
                <w:szCs w:val="20"/>
                <w:lang w:val="fr-BE" w:eastAsia="fr-FR"/>
              </w:rPr>
              <w:t>SPF Justice</w:t>
            </w:r>
            <w:r w:rsidRPr="003362F5">
              <w:rPr>
                <w:rFonts w:ascii="Arial" w:hAnsi="Arial" w:cs="Arial"/>
                <w:b/>
                <w:bCs/>
                <w:color w:val="11417B"/>
                <w:sz w:val="20"/>
                <w:szCs w:val="20"/>
                <w:lang w:val="fr-BE" w:eastAsia="fr-FR"/>
              </w:rPr>
              <w:br/>
            </w:r>
            <w:r w:rsidRPr="003362F5">
              <w:rPr>
                <w:rFonts w:ascii="Arial" w:hAnsi="Arial" w:cs="Arial"/>
                <w:color w:val="11417B"/>
                <w:sz w:val="20"/>
                <w:szCs w:val="20"/>
                <w:lang w:val="fr-BE" w:eastAsia="fr-FR"/>
              </w:rPr>
              <w:t>Direction générale de l’organisation judiciaire</w:t>
            </w:r>
            <w:r w:rsidRPr="003362F5">
              <w:rPr>
                <w:rFonts w:ascii="Arial" w:hAnsi="Arial" w:cs="Arial"/>
                <w:b/>
                <w:bCs/>
                <w:color w:val="11417B"/>
                <w:sz w:val="20"/>
                <w:szCs w:val="20"/>
                <w:lang w:val="fr-BE" w:eastAsia="fr-FR"/>
              </w:rPr>
              <w:br/>
            </w:r>
            <w:r w:rsidRPr="003362F5">
              <w:rPr>
                <w:rFonts w:ascii="Arial" w:hAnsi="Arial" w:cs="Arial"/>
                <w:color w:val="11417B"/>
                <w:sz w:val="20"/>
                <w:szCs w:val="20"/>
                <w:lang w:val="fr-BE" w:eastAsia="fr-FR"/>
              </w:rPr>
              <w:t>Casier judiciaire central</w:t>
            </w:r>
          </w:p>
        </w:tc>
        <w:tc>
          <w:tcPr>
            <w:tcW w:w="1850" w:type="pct"/>
            <w:hideMark/>
          </w:tcPr>
          <w:p w14:paraId="0396C01B" w14:textId="77777777" w:rsidR="003362F5" w:rsidRPr="003362F5" w:rsidRDefault="003362F5">
            <w:pPr>
              <w:spacing w:before="100" w:beforeAutospacing="1" w:after="100" w:afterAutospacing="1"/>
              <w:jc w:val="right"/>
              <w:rPr>
                <w:rFonts w:ascii="Arial" w:hAnsi="Arial" w:cs="Arial"/>
                <w:color w:val="11417B"/>
                <w:sz w:val="16"/>
                <w:szCs w:val="16"/>
                <w:lang w:val="fr-BE" w:eastAsia="fr-FR"/>
              </w:rPr>
            </w:pPr>
            <w:r w:rsidRPr="003362F5">
              <w:rPr>
                <w:rFonts w:ascii="Arial" w:hAnsi="Arial" w:cs="Arial"/>
                <w:color w:val="11417B"/>
                <w:sz w:val="16"/>
                <w:szCs w:val="16"/>
                <w:lang w:val="fr-BE" w:eastAsia="fr-FR"/>
              </w:rPr>
              <w:t>Boulevard de Waterloo 115, 1000 Bruxelles</w:t>
            </w:r>
            <w:r w:rsidRPr="003362F5">
              <w:rPr>
                <w:rFonts w:ascii="Arial" w:hAnsi="Arial" w:cs="Arial"/>
                <w:color w:val="11417B"/>
                <w:sz w:val="16"/>
                <w:szCs w:val="16"/>
                <w:lang w:val="fr-BE" w:eastAsia="fr-FR"/>
              </w:rPr>
              <w:br/>
            </w:r>
            <w:r w:rsidRPr="003362F5">
              <w:rPr>
                <w:rFonts w:ascii="Arial" w:hAnsi="Arial" w:cs="Arial"/>
                <w:color w:val="11417B"/>
                <w:sz w:val="16"/>
                <w:szCs w:val="16"/>
                <w:lang w:val="fr-BE" w:eastAsia="fr-FR"/>
              </w:rPr>
              <w:br/>
            </w:r>
            <w:hyperlink r:id="rId29" w:history="1">
              <w:r w:rsidRPr="003362F5">
                <w:rPr>
                  <w:rStyle w:val="Hyperlink"/>
                  <w:rFonts w:ascii="Arial" w:hAnsi="Arial" w:cs="Arial"/>
                  <w:color w:val="11417B"/>
                  <w:sz w:val="16"/>
                  <w:szCs w:val="16"/>
                  <w:lang w:val="fr-BE" w:eastAsia="fr-FR"/>
                </w:rPr>
                <w:t>justice.belgium.be</w:t>
              </w:r>
            </w:hyperlink>
          </w:p>
        </w:tc>
        <w:tc>
          <w:tcPr>
            <w:tcW w:w="100" w:type="pct"/>
            <w:vAlign w:val="center"/>
            <w:hideMark/>
          </w:tcPr>
          <w:p w14:paraId="495489A0" w14:textId="77777777" w:rsidR="003362F5" w:rsidRPr="003362F5" w:rsidRDefault="003362F5">
            <w:pPr>
              <w:rPr>
                <w:rFonts w:ascii="Arial" w:hAnsi="Arial" w:cs="Arial"/>
                <w:color w:val="11417B"/>
                <w:sz w:val="20"/>
                <w:szCs w:val="20"/>
                <w:lang w:val="fr-BE" w:eastAsia="fr-FR"/>
              </w:rPr>
            </w:pPr>
            <w:r w:rsidRPr="003362F5">
              <w:rPr>
                <w:rFonts w:ascii="Arial" w:hAnsi="Arial" w:cs="Arial"/>
                <w:color w:val="11417B"/>
                <w:sz w:val="20"/>
                <w:szCs w:val="20"/>
                <w:lang w:val="fr-BE" w:eastAsia="fr-FR"/>
              </w:rPr>
              <w:t> </w:t>
            </w:r>
          </w:p>
        </w:tc>
      </w:tr>
    </w:tbl>
    <w:p w14:paraId="2191771B" w14:textId="77777777" w:rsidR="003362F5" w:rsidRDefault="003362F5" w:rsidP="003362F5">
      <w:pPr>
        <w:rPr>
          <w:lang w:val="fr-BE"/>
        </w:rPr>
      </w:pPr>
    </w:p>
    <w:p w14:paraId="6492FC01" w14:textId="77777777" w:rsidR="003362F5" w:rsidRDefault="003362F5" w:rsidP="003362F5">
      <w:pPr>
        <w:rPr>
          <w:lang w:val="fr-BE"/>
        </w:rPr>
      </w:pPr>
    </w:p>
    <w:p w14:paraId="75DAB137" w14:textId="77777777" w:rsidR="008359CA" w:rsidRPr="003362F5" w:rsidRDefault="008359CA" w:rsidP="003362F5">
      <w:pPr>
        <w:rPr>
          <w:lang w:val="fr-BE"/>
        </w:rPr>
      </w:pPr>
    </w:p>
    <w:sectPr w:rsidR="008359CA" w:rsidRPr="003362F5" w:rsidSect="003362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2F5"/>
    <w:rsid w:val="000227C8"/>
    <w:rsid w:val="003362F5"/>
    <w:rsid w:val="00835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905EE89"/>
  <w15:chartTrackingRefBased/>
  <w15:docId w15:val="{E950CB0C-18E1-493E-8218-A181799A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62F5"/>
    <w:pPr>
      <w:spacing w:after="0" w:line="240" w:lineRule="auto"/>
    </w:pPr>
    <w:rPr>
      <w:rFonts w:ascii="Calibri" w:hAnsi="Calibri" w:cs="Calibri"/>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362F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78239">
      <w:bodyDiv w:val="1"/>
      <w:marLeft w:val="0"/>
      <w:marRight w:val="0"/>
      <w:marTop w:val="0"/>
      <w:marBottom w:val="0"/>
      <w:divBdr>
        <w:top w:val="none" w:sz="0" w:space="0" w:color="auto"/>
        <w:left w:val="none" w:sz="0" w:space="0" w:color="auto"/>
        <w:bottom w:val="none" w:sz="0" w:space="0" w:color="auto"/>
        <w:right w:val="none" w:sz="0" w:space="0" w:color="auto"/>
      </w:divBdr>
    </w:div>
    <w:div w:id="82058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NULL" TargetMode="External"/><Relationship Id="rId18" Type="http://schemas.openxmlformats.org/officeDocument/2006/relationships/image" Target="cid:image005.png@01D84A76.1A5D0610" TargetMode="External"/><Relationship Id="rId26" Type="http://schemas.openxmlformats.org/officeDocument/2006/relationships/hyperlink" Target="NULL" TargetMode="External"/><Relationship Id="rId3" Type="http://schemas.openxmlformats.org/officeDocument/2006/relationships/webSettings" Target="webSettings.xml"/><Relationship Id="rId21" Type="http://schemas.openxmlformats.org/officeDocument/2006/relationships/image" Target="cid:image006.png@01D84A76.1A5D0610" TargetMode="External"/><Relationship Id="rId7" Type="http://schemas.openxmlformats.org/officeDocument/2006/relationships/hyperlink" Target="NULL" TargetMode="External"/><Relationship Id="rId12" Type="http://schemas.openxmlformats.org/officeDocument/2006/relationships/image" Target="cid:image003.png@01D84A76.1A5D0610" TargetMode="External"/><Relationship Id="rId17" Type="http://schemas.openxmlformats.org/officeDocument/2006/relationships/image" Target="media/image5.png"/><Relationship Id="rId25" Type="http://schemas.openxmlformats.org/officeDocument/2006/relationships/hyperlink" Target="NULL" TargetMode="External"/><Relationship Id="rId2" Type="http://schemas.openxmlformats.org/officeDocument/2006/relationships/settings" Target="settings.xml"/><Relationship Id="rId16" Type="http://schemas.openxmlformats.org/officeDocument/2006/relationships/hyperlink" Target="NULL" TargetMode="External"/><Relationship Id="rId20" Type="http://schemas.openxmlformats.org/officeDocument/2006/relationships/image" Target="media/image6.png"/><Relationship Id="rId29" Type="http://schemas.openxmlformats.org/officeDocument/2006/relationships/hyperlink" Target="NULL" TargetMode="External"/><Relationship Id="rId1" Type="http://schemas.openxmlformats.org/officeDocument/2006/relationships/styles" Target="styles.xml"/><Relationship Id="rId6" Type="http://schemas.openxmlformats.org/officeDocument/2006/relationships/image" Target="cid:image001.png@01D84A76.1A5D0610" TargetMode="External"/><Relationship Id="rId11" Type="http://schemas.openxmlformats.org/officeDocument/2006/relationships/image" Target="media/image3.png"/><Relationship Id="rId24" Type="http://schemas.openxmlformats.org/officeDocument/2006/relationships/hyperlink" Target="NULL" TargetMode="External"/><Relationship Id="rId5" Type="http://schemas.openxmlformats.org/officeDocument/2006/relationships/image" Target="media/image1.png"/><Relationship Id="rId15" Type="http://schemas.openxmlformats.org/officeDocument/2006/relationships/image" Target="cid:image004.png@01D84A76.1A5D0610" TargetMode="External"/><Relationship Id="rId23" Type="http://schemas.openxmlformats.org/officeDocument/2006/relationships/hyperlink" Target="NULL" TargetMode="External"/><Relationship Id="rId28" Type="http://schemas.openxmlformats.org/officeDocument/2006/relationships/hyperlink" Target="NULL" TargetMode="External"/><Relationship Id="rId10" Type="http://schemas.openxmlformats.org/officeDocument/2006/relationships/hyperlink" Target="NULL" TargetMode="External"/><Relationship Id="rId19" Type="http://schemas.openxmlformats.org/officeDocument/2006/relationships/hyperlink" Target="NULL" TargetMode="External"/><Relationship Id="rId31" Type="http://schemas.openxmlformats.org/officeDocument/2006/relationships/theme" Target="theme/theme1.xml"/><Relationship Id="rId4" Type="http://schemas.openxmlformats.org/officeDocument/2006/relationships/hyperlink" Target="NULL" TargetMode="External"/><Relationship Id="rId9" Type="http://schemas.openxmlformats.org/officeDocument/2006/relationships/image" Target="cid:image002.png@01D84A76.1A5D0610" TargetMode="External"/><Relationship Id="rId14" Type="http://schemas.openxmlformats.org/officeDocument/2006/relationships/image" Target="media/image4.png"/><Relationship Id="rId22" Type="http://schemas.openxmlformats.org/officeDocument/2006/relationships/hyperlink" Target="NULL" TargetMode="External"/><Relationship Id="rId27" Type="http://schemas.openxmlformats.org/officeDocument/2006/relationships/hyperlink" Target="NUL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2481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FOD Justitie / SPF Justice</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Didelez Syra</dc:creator>
  <cp:keywords/>
  <dc:description/>
  <cp:lastModifiedBy>Crauwels Fabienne</cp:lastModifiedBy>
  <cp:revision>2</cp:revision>
  <dcterms:created xsi:type="dcterms:W3CDTF">2022-04-13T15:27:00Z</dcterms:created>
  <dcterms:modified xsi:type="dcterms:W3CDTF">2022-04-13T15:27:00Z</dcterms:modified>
</cp:coreProperties>
</file>