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3D9C" w14:textId="77777777" w:rsidR="00552A2A" w:rsidRPr="005A65C4" w:rsidRDefault="00552A2A" w:rsidP="00552A2A">
      <w:pPr>
        <w:pStyle w:val="Kop2"/>
        <w:keepNext w:val="0"/>
        <w:keepLines w:val="0"/>
        <w:pBdr>
          <w:bottom w:val="single" w:sz="6" w:space="0" w:color="000000"/>
        </w:pBdr>
        <w:shd w:val="clear" w:color="auto" w:fill="D3D3D3"/>
        <w:spacing w:before="299" w:after="299"/>
        <w:jc w:val="center"/>
        <w:rPr>
          <w:rFonts w:asciiTheme="minorHAnsi" w:eastAsia="Segoe UI" w:hAnsiTheme="minorHAnsi" w:cstheme="minorHAnsi"/>
          <w:caps/>
          <w:lang w:val="nl-NL"/>
        </w:rPr>
      </w:pPr>
      <w:bookmarkStart w:id="0" w:name="_Toc67648109"/>
      <w:r w:rsidRPr="005A65C4">
        <w:rPr>
          <w:rStyle w:val="projectRapportering285e5c00allProject285e5c00titleField285e5c00Character"/>
          <w:rFonts w:asciiTheme="minorHAnsi" w:eastAsia="Segoe UI" w:hAnsiTheme="minorHAnsi" w:cstheme="minorHAnsi"/>
          <w:color w:val="auto"/>
          <w:lang w:val="nl-NL"/>
        </w:rPr>
        <w:t>VV127 - Digibanken</w:t>
      </w:r>
      <w:bookmarkEnd w:id="0"/>
    </w:p>
    <w:tbl>
      <w:tblPr>
        <w:tblStyle w:val="projectRapportering285e5c00allProject285e5c00rapportTable285e5c00"/>
        <w:tblW w:w="5000" w:type="pct"/>
        <w:tblCellMar>
          <w:top w:w="15" w:type="dxa"/>
          <w:left w:w="15" w:type="dxa"/>
          <w:bottom w:w="15" w:type="dxa"/>
          <w:right w:w="15" w:type="dxa"/>
        </w:tblCellMar>
        <w:tblLook w:val="05E0" w:firstRow="1" w:lastRow="1" w:firstColumn="1" w:lastColumn="1" w:noHBand="0" w:noVBand="1"/>
      </w:tblPr>
      <w:tblGrid>
        <w:gridCol w:w="1913"/>
        <w:gridCol w:w="7143"/>
      </w:tblGrid>
      <w:tr w:rsidR="00552A2A" w:rsidRPr="005A65C4" w14:paraId="416A3CBD" w14:textId="77777777" w:rsidTr="00EA4144">
        <w:trPr>
          <w:tblHead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29807DE3"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Betrokkenen</w:t>
            </w:r>
          </w:p>
        </w:tc>
      </w:tr>
      <w:tr w:rsidR="00552A2A" w:rsidRPr="005A65C4" w14:paraId="41376389"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23A8FF3F"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Bevoegde minister(s)</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2554CC89" w14:textId="77777777" w:rsidR="00552A2A" w:rsidRPr="005A65C4" w:rsidRDefault="00FF68FB" w:rsidP="00EA4144">
            <w:pPr>
              <w:rPr>
                <w:rFonts w:asciiTheme="minorHAnsi" w:eastAsia="Segoe UI" w:hAnsiTheme="minorHAnsi" w:cstheme="minorHAnsi"/>
                <w:color w:val="000000"/>
                <w:sz w:val="22"/>
                <w:szCs w:val="22"/>
                <w:lang w:val="nl-NL"/>
              </w:rPr>
            </w:pPr>
            <w:hyperlink r:id="rId5" w:history="1">
              <w:r w:rsidR="00552A2A" w:rsidRPr="005A65C4">
                <w:rPr>
                  <w:rStyle w:val="projectRapportering285e5c00a"/>
                  <w:rFonts w:asciiTheme="minorHAnsi" w:eastAsia="Segoe UI" w:hAnsiTheme="minorHAnsi" w:cstheme="minorHAnsi"/>
                  <w:color w:val="0000EE"/>
                  <w:sz w:val="22"/>
                  <w:szCs w:val="22"/>
                  <w:u w:val="single" w:color="0000EE"/>
                  <w:lang w:val="nl-NL"/>
                </w:rPr>
                <w:t xml:space="preserve">Hilde </w:t>
              </w:r>
              <w:proofErr w:type="spellStart"/>
              <w:r w:rsidR="00552A2A" w:rsidRPr="005A65C4">
                <w:rPr>
                  <w:rStyle w:val="projectRapportering285e5c00a"/>
                  <w:rFonts w:asciiTheme="minorHAnsi" w:eastAsia="Segoe UI" w:hAnsiTheme="minorHAnsi" w:cstheme="minorHAnsi"/>
                  <w:color w:val="0000EE"/>
                  <w:sz w:val="22"/>
                  <w:szCs w:val="22"/>
                  <w:u w:val="single" w:color="0000EE"/>
                  <w:lang w:val="nl-NL"/>
                </w:rPr>
                <w:t>Crevits</w:t>
              </w:r>
              <w:proofErr w:type="spellEnd"/>
            </w:hyperlink>
          </w:p>
        </w:tc>
      </w:tr>
      <w:tr w:rsidR="00552A2A" w:rsidRPr="00552A2A" w14:paraId="523B8915"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04F2485A"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Trekkende entiteit VO</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5DCE6668"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Departement Werk en Sociale Economie</w:t>
            </w:r>
          </w:p>
        </w:tc>
      </w:tr>
      <w:tr w:rsidR="00552A2A" w:rsidRPr="00552A2A" w14:paraId="6223D6BA"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5106DAA5"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Betrokken entiteit(en) VO</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0EFEDAFD"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Departement Werk en Sociale Economie</w:t>
            </w:r>
          </w:p>
        </w:tc>
      </w:tr>
      <w:tr w:rsidR="00552A2A" w:rsidRPr="00552A2A" w14:paraId="10B55468"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13F18DF7"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Belanghebbenden</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34E001E4"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 xml:space="preserve">We kiezen er voor om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tot stand te laten komen als een samenwerking tussen diverse partners, zoals overheden, bedrijven, kennisinstellingen en het middenveld. Binnen de partnerschappen zal betrokkenheid van sociale economie-ondernemingen en lokale VDAB-actoren sterk gestimuleerd worden, net zoals de samenwerking met reguliere of lokale ondernemingen.</w:t>
            </w:r>
          </w:p>
        </w:tc>
      </w:tr>
    </w:tbl>
    <w:p w14:paraId="1773E5B0" w14:textId="77777777" w:rsidR="00552A2A" w:rsidRPr="005A65C4" w:rsidRDefault="00552A2A" w:rsidP="00552A2A">
      <w:pPr>
        <w:rPr>
          <w:rFonts w:asciiTheme="minorHAnsi" w:eastAsia="Segoe UI" w:hAnsiTheme="minorHAnsi" w:cstheme="minorHAnsi"/>
          <w:lang w:val="nl-NL"/>
        </w:rPr>
      </w:pPr>
    </w:p>
    <w:tbl>
      <w:tblPr>
        <w:tblStyle w:val="projectRapportering285e5c00allProject285e5c00rapportTable285e5c00"/>
        <w:tblW w:w="5000" w:type="pct"/>
        <w:tblCellMar>
          <w:top w:w="15" w:type="dxa"/>
          <w:left w:w="15" w:type="dxa"/>
          <w:bottom w:w="15" w:type="dxa"/>
          <w:right w:w="15" w:type="dxa"/>
        </w:tblCellMar>
        <w:tblLook w:val="05E0" w:firstRow="1" w:lastRow="1" w:firstColumn="1" w:lastColumn="1" w:noHBand="0" w:noVBand="1"/>
      </w:tblPr>
      <w:tblGrid>
        <w:gridCol w:w="3483"/>
        <w:gridCol w:w="5573"/>
      </w:tblGrid>
      <w:tr w:rsidR="00552A2A" w:rsidRPr="005A65C4" w14:paraId="1A33480E" w14:textId="77777777" w:rsidTr="00EA4144">
        <w:trPr>
          <w:tblHead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543F447D"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Projectsituering</w:t>
            </w:r>
          </w:p>
        </w:tc>
      </w:tr>
      <w:tr w:rsidR="00552A2A" w:rsidRPr="005A65C4" w14:paraId="1562A69C"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3C5FEFFE"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Cluster Relanceplan</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4786B1E0"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 xml:space="preserve">26. </w:t>
            </w:r>
            <w:proofErr w:type="spellStart"/>
            <w:r w:rsidRPr="005A65C4">
              <w:rPr>
                <w:rFonts w:asciiTheme="minorHAnsi" w:eastAsia="Segoe UI" w:hAnsiTheme="minorHAnsi" w:cstheme="minorHAnsi"/>
                <w:color w:val="000000"/>
                <w:sz w:val="22"/>
                <w:szCs w:val="22"/>
                <w:lang w:val="nl-NL"/>
              </w:rPr>
              <w:t>Digibanken</w:t>
            </w:r>
            <w:proofErr w:type="spellEnd"/>
          </w:p>
        </w:tc>
      </w:tr>
      <w:tr w:rsidR="00552A2A" w:rsidRPr="005A65C4" w14:paraId="434D2D06"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049E660C"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Speerpunt Relanceplan</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4BBD96C0"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03. Vlaanderen digitaal transformeren</w:t>
            </w:r>
          </w:p>
        </w:tc>
      </w:tr>
    </w:tbl>
    <w:p w14:paraId="02C520E4" w14:textId="77777777" w:rsidR="00552A2A" w:rsidRPr="005A65C4" w:rsidRDefault="00552A2A" w:rsidP="00552A2A">
      <w:pPr>
        <w:rPr>
          <w:rFonts w:asciiTheme="minorHAnsi" w:eastAsia="Segoe UI" w:hAnsiTheme="minorHAnsi" w:cstheme="minorHAnsi"/>
          <w:lang w:val="nl-NL"/>
        </w:rPr>
      </w:pPr>
    </w:p>
    <w:tbl>
      <w:tblPr>
        <w:tblStyle w:val="projectRapportering285e5c00allProject285e5c00rapportTable285e5c00"/>
        <w:tblW w:w="5000" w:type="pct"/>
        <w:tblCellMar>
          <w:top w:w="15" w:type="dxa"/>
          <w:left w:w="15" w:type="dxa"/>
          <w:bottom w:w="15" w:type="dxa"/>
          <w:right w:w="15" w:type="dxa"/>
        </w:tblCellMar>
        <w:tblLook w:val="05E0" w:firstRow="1" w:lastRow="1" w:firstColumn="1" w:lastColumn="1" w:noHBand="0" w:noVBand="1"/>
      </w:tblPr>
      <w:tblGrid>
        <w:gridCol w:w="9056"/>
      </w:tblGrid>
      <w:tr w:rsidR="00552A2A" w:rsidRPr="005A65C4" w14:paraId="04AA5153" w14:textId="77777777" w:rsidTr="00EA414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5F8B78E8"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Projectomschrijving</w:t>
            </w:r>
          </w:p>
        </w:tc>
      </w:tr>
      <w:tr w:rsidR="00552A2A" w:rsidRPr="00552A2A" w14:paraId="06D98CD3"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14FE9CFF" w14:textId="77777777" w:rsidR="00552A2A" w:rsidRPr="005A65C4" w:rsidRDefault="00552A2A" w:rsidP="00EA4144">
            <w:pPr>
              <w:jc w:val="both"/>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 xml:space="preserve">Volgens de ‘Barometer Digitale Inclusie’ van de Koning Boudewijnstichting (2020) ervaren mensen in een kwetsbare positie (onder meer kortgeschoolden, mensen in armoede, laaggeletterden, ...) in de samenleving een hoger risico op digitale uitsluiting. Deze kloof is (cumulatief) aanwezig op meerdere facetten. </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Met de oprichting van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wil de Vlaamse Overheid het risico op digitale uitsluiting verkleinen via drie doelstellingen: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 xml:space="preserve">• Gelijke toegang tot digitale technologie door het voorwaardelijk beschikbaar stellen van laptops, schermen en andere hardware en ondersteuning in een specifieke context (vb. uitleendienst). </w:t>
            </w:r>
            <w:r w:rsidRPr="005A65C4">
              <w:rPr>
                <w:rFonts w:asciiTheme="minorHAnsi" w:eastAsia="Segoe UI" w:hAnsiTheme="minorHAnsi" w:cstheme="minorHAnsi"/>
                <w:color w:val="000000"/>
                <w:sz w:val="22"/>
                <w:szCs w:val="22"/>
                <w:lang w:val="nl-NL"/>
              </w:rPr>
              <w:br/>
              <w:t xml:space="preserve">• Via opleiding en kennisdeling digitale vaardigheden versterken, zowel inzake persoonlijke vaardigheden als technische vaardigheden (vb. herstel van IT-materiaal). </w:t>
            </w:r>
            <w:r w:rsidRPr="005A65C4">
              <w:rPr>
                <w:rFonts w:asciiTheme="minorHAnsi" w:eastAsia="Segoe UI" w:hAnsiTheme="minorHAnsi" w:cstheme="minorHAnsi"/>
                <w:color w:val="000000"/>
                <w:sz w:val="22"/>
                <w:szCs w:val="22"/>
                <w:lang w:val="nl-NL"/>
              </w:rPr>
              <w:br/>
              <w:t xml:space="preserve">• Via begeleiding zorgen voor een verbeterde digitale toegang tot essentiële diensten (vb. digitale dienstverlening vanuit de Vlaamse overheid, </w:t>
            </w:r>
            <w:proofErr w:type="spellStart"/>
            <w:r w:rsidRPr="005A65C4">
              <w:rPr>
                <w:rFonts w:asciiTheme="minorHAnsi" w:eastAsia="Segoe UI" w:hAnsiTheme="minorHAnsi" w:cstheme="minorHAnsi"/>
                <w:color w:val="000000"/>
                <w:sz w:val="22"/>
                <w:szCs w:val="22"/>
                <w:lang w:val="nl-NL"/>
              </w:rPr>
              <w:t>tax</w:t>
            </w:r>
            <w:proofErr w:type="spellEnd"/>
            <w:r w:rsidRPr="005A65C4">
              <w:rPr>
                <w:rFonts w:asciiTheme="minorHAnsi" w:eastAsia="Segoe UI" w:hAnsiTheme="minorHAnsi" w:cstheme="minorHAnsi"/>
                <w:color w:val="000000"/>
                <w:sz w:val="22"/>
                <w:szCs w:val="22"/>
                <w:lang w:val="nl-NL"/>
              </w:rPr>
              <w:t>-on-web, enz.) via zogenaamde fysieke knooppunten.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 xml:space="preserve">De doelgroep als eindgebruiker van de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omvat volwassen personen (+18 jaar) in Vlaanderen met een (risico op) digitale achterstand.</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 xml:space="preserve">Binnen Vlaanderen is een scala aan ondernemingen en organisaties reeds actief op één van bovenstaande doelstellingen en activiteiten. Samenwerking tussen deze partners is momenteel eerder onbestaande of louter ad hoc, en afhankelijk van menselijk en financieel kapitaal. De </w:t>
            </w:r>
            <w:r w:rsidRPr="005A65C4">
              <w:rPr>
                <w:rFonts w:asciiTheme="minorHAnsi" w:eastAsia="Segoe UI" w:hAnsiTheme="minorHAnsi" w:cstheme="minorHAnsi"/>
                <w:color w:val="000000"/>
                <w:sz w:val="22"/>
                <w:szCs w:val="22"/>
                <w:lang w:val="nl-NL"/>
              </w:rPr>
              <w:lastRenderedPageBreak/>
              <w:t>uitdagingen rond de digitale kloof variëren daarnaast ook regionaal.</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Het is de ambitie om via dit project deze diverse spelers in lokale samenwerkingsverbanden als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te verenigen en te stroomlijnen in een ketenstructuur met een gezamenlijke doelgerichte strategie en dienstverlening. De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-partnerschappen worden zichtbaar in een laagdrempelige fysieke toegangspoort voor de publieksgroepen naar verschillende diensten.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De structuur en samenstelling van elk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’-project kan lokaal of regionaal verschillen, met voldoende aandacht voor de lokale autonomie en diversiteit, en wordt ‘bottom-up’ bepaald binnen de kwaliteitsvereisten voorzien in de oproepen. Het eigenaarschap en de verantwoordelijkheden ligt binnen de opgezette partnerschappen.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 xml:space="preserve">De lokale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-projecten zullen worden toegewezen via open subsidie-oproepen verspreid over meerdere parallelle indieningsrondes in 2021 en 2022.</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De oproep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 Strategische ontwikkeling’ (voortraject) voorziet de mogelijkheid aan (kandidaat-)partnerschappen om a) de strategie voor de implementatie van het lokale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 xml:space="preserve">-project en de gedeelde dienstverlening en b) het partnerschap verder concreet vorm te geven. Binnen de strategie is aandacht voor de doelgroep, </w:t>
            </w:r>
            <w:proofErr w:type="spellStart"/>
            <w:r w:rsidRPr="005A65C4">
              <w:rPr>
                <w:rFonts w:asciiTheme="minorHAnsi" w:eastAsia="Segoe UI" w:hAnsiTheme="minorHAnsi" w:cstheme="minorHAnsi"/>
                <w:color w:val="000000"/>
                <w:sz w:val="22"/>
                <w:szCs w:val="22"/>
                <w:lang w:val="nl-NL"/>
              </w:rPr>
              <w:t>outreachstrategie</w:t>
            </w:r>
            <w:proofErr w:type="spellEnd"/>
            <w:r w:rsidRPr="005A65C4">
              <w:rPr>
                <w:rFonts w:asciiTheme="minorHAnsi" w:eastAsia="Segoe UI" w:hAnsiTheme="minorHAnsi" w:cstheme="minorHAnsi"/>
                <w:color w:val="000000"/>
                <w:sz w:val="22"/>
                <w:szCs w:val="22"/>
                <w:lang w:val="nl-NL"/>
              </w:rPr>
              <w:t>, samenwerking met sociale economie, circulariteit, duurzaamheid en opschaalbaarheid van het model, connectiviteit en impactmeting.</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De oproep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 Uitvoering strategie’ (implementatietraject) wil de effectieve uitvoering van lokale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-projecten vanuit het geformaliseerde partnerschap en de samenwerkingsstrategie ondersteunen. Tijdens deze uitvoering werken de partnerschappen aan de drie bovenstaande doelstellingen.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We beogen hierbij partnerschappen met een voldoende schaalgrootte en/of bereik te ondersteunen. We beogen eveneens een duurzame impact te bereiken tot de ontwikkeling van leefbare en innovatieve modellen, met voldoende maturiteit, economische rendabiliteit en opschaalbaarheid die na de ondersteuningsperiode operationeel kunnen blijven.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 xml:space="preserve">Bovenstaande doelstellingen omvatten ook activiteiten die een breder circulair en sociaal doel kunnen verwezenlijken. Bijvoorbeeld, herstel en recyclage van (ICT-)materiaal, of circulaire aankopen. Via de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-projecten willen we bijdragen tot een circulaire economie via vernieuwende antwoorden.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De projecten zullen vrijblijvend beroep kunnen doen op ondersteuning voor de opmaak van de samenwerkingsovereenkomst- en strategie, om de kwaliteit van samenwerking, rollen en verantwoordelijkheden te garanderen.</w:t>
            </w:r>
          </w:p>
        </w:tc>
      </w:tr>
    </w:tbl>
    <w:p w14:paraId="62FC383E" w14:textId="77777777" w:rsidR="00552A2A" w:rsidRPr="005A65C4" w:rsidRDefault="00552A2A" w:rsidP="00552A2A">
      <w:pPr>
        <w:rPr>
          <w:rFonts w:asciiTheme="minorHAnsi" w:eastAsia="Segoe UI" w:hAnsiTheme="minorHAnsi" w:cstheme="minorHAnsi"/>
          <w:lang w:val="nl-NL"/>
        </w:rPr>
      </w:pPr>
    </w:p>
    <w:tbl>
      <w:tblPr>
        <w:tblStyle w:val="projectRapportering285e5c00allProject285e5c00rapportTable285e5c00"/>
        <w:tblW w:w="5000" w:type="pct"/>
        <w:tblCellMar>
          <w:top w:w="15" w:type="dxa"/>
          <w:left w:w="15" w:type="dxa"/>
          <w:bottom w:w="15" w:type="dxa"/>
          <w:right w:w="15" w:type="dxa"/>
        </w:tblCellMar>
        <w:tblLook w:val="05E0" w:firstRow="1" w:lastRow="1" w:firstColumn="1" w:lastColumn="1" w:noHBand="0" w:noVBand="1"/>
      </w:tblPr>
      <w:tblGrid>
        <w:gridCol w:w="1537"/>
        <w:gridCol w:w="7519"/>
      </w:tblGrid>
      <w:tr w:rsidR="00552A2A" w:rsidRPr="005A65C4" w14:paraId="72A3F905" w14:textId="77777777" w:rsidTr="00EA4144">
        <w:trPr>
          <w:tblHead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01068835"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Algemene Projectvoortgang</w:t>
            </w:r>
          </w:p>
        </w:tc>
      </w:tr>
      <w:tr w:rsidR="00552A2A" w:rsidRPr="005A65C4" w14:paraId="1DCBB9E2"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1795359F"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Projectstatus</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5236DD11"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Style w:val="projectRapportering285e5c00allProject285e5c00rapportTable285e5c00tdcolorLightGreen285e5c00"/>
                <w:rFonts w:asciiTheme="minorHAnsi" w:eastAsia="Segoe UI" w:hAnsiTheme="minorHAnsi" w:cstheme="minorHAnsi"/>
                <w:color w:val="000000"/>
                <w:sz w:val="22"/>
                <w:szCs w:val="22"/>
                <w:lang w:val="nl-NL"/>
              </w:rPr>
              <w:t>Opgestart</w:t>
            </w:r>
          </w:p>
        </w:tc>
      </w:tr>
      <w:tr w:rsidR="00552A2A" w:rsidRPr="00552A2A" w14:paraId="5A683414"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2BA6CB60"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Beschrijving voortgang</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38D4E529"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 xml:space="preserve">De lokale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-projecten zullen worden toegewezen via open subsidie-oproepen verspreid over meerdere indieningsrondes in 2021 en 2022. Daarnaast werken we dit voorjaar een kaderbesluit uit waarin beide oproepen verankerd worden.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lastRenderedPageBreak/>
              <w:br/>
              <w:t xml:space="preserve">We ambiëren de afronding van de oproep rond strategische ontwikkeling en opstart van de oproep tot effectieve uitvoering zo kort mogelijk te houden. Daarnaast ambiëren we via meerdere indieningsrondes gradueel voldoende projecten te ondersteunen om </w:t>
            </w:r>
            <w:proofErr w:type="spellStart"/>
            <w:r w:rsidRPr="005A65C4">
              <w:rPr>
                <w:rFonts w:asciiTheme="minorHAnsi" w:eastAsia="Segoe UI" w:hAnsiTheme="minorHAnsi" w:cstheme="minorHAnsi"/>
                <w:color w:val="000000"/>
                <w:sz w:val="22"/>
                <w:szCs w:val="22"/>
                <w:lang w:val="nl-NL"/>
              </w:rPr>
              <w:t>gebiedsdekkend</w:t>
            </w:r>
            <w:proofErr w:type="spellEnd"/>
            <w:r w:rsidRPr="005A65C4">
              <w:rPr>
                <w:rFonts w:asciiTheme="minorHAnsi" w:eastAsia="Segoe UI" w:hAnsiTheme="minorHAnsi" w:cstheme="minorHAnsi"/>
                <w:color w:val="000000"/>
                <w:sz w:val="22"/>
                <w:szCs w:val="22"/>
                <w:lang w:val="nl-NL"/>
              </w:rPr>
              <w:t xml:space="preserve"> over Vlaanderen te zijn.</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 xml:space="preserve">De uitvoering van de </w:t>
            </w:r>
            <w:proofErr w:type="spellStart"/>
            <w:r w:rsidRPr="005A65C4">
              <w:rPr>
                <w:rFonts w:asciiTheme="minorHAnsi" w:eastAsia="Segoe UI" w:hAnsiTheme="minorHAnsi" w:cstheme="minorHAnsi"/>
                <w:color w:val="000000"/>
                <w:sz w:val="22"/>
                <w:szCs w:val="22"/>
                <w:lang w:val="nl-NL"/>
              </w:rPr>
              <w:t>digibank</w:t>
            </w:r>
            <w:proofErr w:type="spellEnd"/>
            <w:r w:rsidRPr="005A65C4">
              <w:rPr>
                <w:rFonts w:asciiTheme="minorHAnsi" w:eastAsia="Segoe UI" w:hAnsiTheme="minorHAnsi" w:cstheme="minorHAnsi"/>
                <w:color w:val="000000"/>
                <w:sz w:val="22"/>
                <w:szCs w:val="22"/>
                <w:lang w:val="nl-NL"/>
              </w:rPr>
              <w:t>-partnerschappen kent een looptijd tot eind 2024.</w:t>
            </w:r>
            <w:r w:rsidRPr="005A65C4">
              <w:rPr>
                <w:rFonts w:asciiTheme="minorHAnsi" w:eastAsia="Segoe UI" w:hAnsiTheme="minorHAnsi" w:cstheme="minorHAnsi"/>
                <w:color w:val="000000"/>
                <w:sz w:val="22"/>
                <w:szCs w:val="22"/>
                <w:lang w:val="nl-NL"/>
              </w:rPr>
              <w:br/>
            </w:r>
            <w:r w:rsidRPr="005A65C4">
              <w:rPr>
                <w:rFonts w:asciiTheme="minorHAnsi" w:eastAsia="Segoe UI" w:hAnsiTheme="minorHAnsi" w:cstheme="minorHAnsi"/>
                <w:color w:val="000000"/>
                <w:sz w:val="22"/>
                <w:szCs w:val="22"/>
                <w:lang w:val="nl-NL"/>
              </w:rPr>
              <w:br/>
              <w:t>Daarnaast voorzien we flankerende acties, zoals de ontwikkeling van communicatie.</w:t>
            </w:r>
          </w:p>
        </w:tc>
      </w:tr>
    </w:tbl>
    <w:p w14:paraId="6AA2C977" w14:textId="77777777" w:rsidR="00552A2A" w:rsidRPr="005A65C4" w:rsidRDefault="00552A2A" w:rsidP="00552A2A">
      <w:pPr>
        <w:rPr>
          <w:rFonts w:asciiTheme="minorHAnsi" w:eastAsia="Segoe UI" w:hAnsiTheme="minorHAnsi" w:cstheme="minorHAnsi"/>
          <w:lang w:val="nl-NL"/>
        </w:rPr>
      </w:pPr>
    </w:p>
    <w:tbl>
      <w:tblPr>
        <w:tblStyle w:val="projectRapportering285e5c00allProject285e5c00rapportTable285e5c00"/>
        <w:tblW w:w="5000" w:type="pct"/>
        <w:tblCellMar>
          <w:top w:w="15" w:type="dxa"/>
          <w:left w:w="15" w:type="dxa"/>
          <w:bottom w:w="15" w:type="dxa"/>
          <w:right w:w="15" w:type="dxa"/>
        </w:tblCellMar>
        <w:tblLook w:val="05E0" w:firstRow="1" w:lastRow="1" w:firstColumn="1" w:lastColumn="1" w:noHBand="0" w:noVBand="1"/>
      </w:tblPr>
      <w:tblGrid>
        <w:gridCol w:w="3952"/>
        <w:gridCol w:w="1472"/>
        <w:gridCol w:w="1139"/>
        <w:gridCol w:w="2493"/>
      </w:tblGrid>
      <w:tr w:rsidR="00552A2A" w:rsidRPr="005A65C4" w14:paraId="66BF3608" w14:textId="77777777" w:rsidTr="00EA4144">
        <w:trPr>
          <w:tblHead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0217D125"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Gedetailleerde projectvoortgang</w:t>
            </w:r>
          </w:p>
        </w:tc>
      </w:tr>
      <w:tr w:rsidR="00552A2A" w:rsidRPr="005A65C4" w14:paraId="07C3A830" w14:textId="77777777" w:rsidTr="00EA414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5088B696"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Beoogde realisaties</w:t>
            </w:r>
          </w:p>
        </w:tc>
        <w:tc>
          <w:tcPr>
            <w:tcW w:w="0" w:type="auto"/>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27D175A1"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Geplande timing</w:t>
            </w:r>
          </w:p>
        </w:tc>
        <w:tc>
          <w:tcPr>
            <w:tcW w:w="0" w:type="auto"/>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299A72DD"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253545CE"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Noodzakelijke politieke beslissingen</w:t>
            </w:r>
          </w:p>
        </w:tc>
      </w:tr>
      <w:tr w:rsidR="00552A2A" w:rsidRPr="005A65C4" w14:paraId="484CB6C4"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7817DD53"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Kadernota VR</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4692B994"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30/06/2021</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05E6497F"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Style w:val="projectRapportering285e5c00allProject285e5c00rapportTable285e5c00tdcolorLightGreen285e5c00"/>
                <w:rFonts w:asciiTheme="minorHAnsi" w:eastAsia="Segoe UI" w:hAnsiTheme="minorHAnsi" w:cstheme="minorHAnsi"/>
                <w:color w:val="000000"/>
                <w:sz w:val="22"/>
                <w:szCs w:val="22"/>
                <w:lang w:val="nl-NL"/>
              </w:rPr>
              <w:t>Op schema</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6E9E41BC"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Goedkeuring VR</w:t>
            </w:r>
          </w:p>
        </w:tc>
      </w:tr>
      <w:tr w:rsidR="00552A2A" w:rsidRPr="005A65C4" w14:paraId="7832E122"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420C6594"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Oproepen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 Voortraject' en '</w:t>
            </w:r>
            <w:proofErr w:type="spellStart"/>
            <w:r w:rsidRPr="005A65C4">
              <w:rPr>
                <w:rFonts w:asciiTheme="minorHAnsi" w:eastAsia="Segoe UI" w:hAnsiTheme="minorHAnsi" w:cstheme="minorHAnsi"/>
                <w:color w:val="000000"/>
                <w:sz w:val="22"/>
                <w:szCs w:val="22"/>
                <w:lang w:val="nl-NL"/>
              </w:rPr>
              <w:t>Digibanken</w:t>
            </w:r>
            <w:proofErr w:type="spellEnd"/>
            <w:r w:rsidRPr="005A65C4">
              <w:rPr>
                <w:rFonts w:asciiTheme="minorHAnsi" w:eastAsia="Segoe UI" w:hAnsiTheme="minorHAnsi" w:cstheme="minorHAnsi"/>
                <w:color w:val="000000"/>
                <w:sz w:val="22"/>
                <w:szCs w:val="22"/>
                <w:lang w:val="nl-NL"/>
              </w:rPr>
              <w:t xml:space="preserve"> - Implementatietraject'</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70A1B993"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31/12/2022</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0759424E"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Style w:val="projectRapportering285e5c00allProject285e5c00rapportTable285e5c00tdcolorDefault285e5c00"/>
                <w:rFonts w:asciiTheme="minorHAnsi" w:eastAsia="Segoe UI" w:hAnsiTheme="minorHAnsi" w:cstheme="minorHAnsi"/>
                <w:color w:val="000000"/>
                <w:sz w:val="22"/>
                <w:szCs w:val="22"/>
                <w:lang w:val="nl-NL"/>
              </w:rPr>
              <w:t>Nog niet gestart</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06514E3B"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BVR</w:t>
            </w:r>
          </w:p>
        </w:tc>
      </w:tr>
    </w:tbl>
    <w:p w14:paraId="52F3BBED" w14:textId="77777777" w:rsidR="00552A2A" w:rsidRPr="005A65C4" w:rsidRDefault="00552A2A" w:rsidP="00552A2A">
      <w:pPr>
        <w:rPr>
          <w:rFonts w:asciiTheme="minorHAnsi" w:eastAsia="Segoe UI" w:hAnsiTheme="minorHAnsi" w:cstheme="minorHAnsi"/>
          <w:lang w:val="nl-NL"/>
        </w:rPr>
      </w:pPr>
    </w:p>
    <w:tbl>
      <w:tblPr>
        <w:tblStyle w:val="projectRapportering285e5c00allProject285e5c00rapportTable285e5c00"/>
        <w:tblW w:w="5000" w:type="pct"/>
        <w:tblCellMar>
          <w:top w:w="15" w:type="dxa"/>
          <w:left w:w="15" w:type="dxa"/>
          <w:bottom w:w="15" w:type="dxa"/>
          <w:right w:w="15" w:type="dxa"/>
        </w:tblCellMar>
        <w:tblLook w:val="05E0" w:firstRow="1" w:lastRow="1" w:firstColumn="1" w:lastColumn="1" w:noHBand="0" w:noVBand="1"/>
      </w:tblPr>
      <w:tblGrid>
        <w:gridCol w:w="3355"/>
        <w:gridCol w:w="5701"/>
      </w:tblGrid>
      <w:tr w:rsidR="00552A2A" w:rsidRPr="005A65C4" w14:paraId="44D478A1" w14:textId="77777777" w:rsidTr="00EA4144">
        <w:trPr>
          <w:tblHead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3D3D3"/>
            <w:tcMar>
              <w:top w:w="82" w:type="dxa"/>
              <w:left w:w="82" w:type="dxa"/>
              <w:bottom w:w="82" w:type="dxa"/>
              <w:right w:w="82" w:type="dxa"/>
            </w:tcMar>
            <w:vAlign w:val="center"/>
            <w:hideMark/>
          </w:tcPr>
          <w:p w14:paraId="6B7D668F" w14:textId="77777777" w:rsidR="00552A2A" w:rsidRPr="005A65C4" w:rsidRDefault="00552A2A" w:rsidP="00EA4144">
            <w:pPr>
              <w:jc w:val="center"/>
              <w:rPr>
                <w:rFonts w:asciiTheme="minorHAnsi" w:eastAsia="Segoe UI" w:hAnsiTheme="minorHAnsi" w:cstheme="minorHAnsi"/>
                <w:caps/>
                <w:color w:val="000000"/>
                <w:sz w:val="22"/>
                <w:szCs w:val="22"/>
                <w:lang w:val="nl-NL"/>
              </w:rPr>
            </w:pPr>
            <w:r w:rsidRPr="005A65C4">
              <w:rPr>
                <w:rFonts w:asciiTheme="minorHAnsi" w:eastAsia="Segoe UI" w:hAnsiTheme="minorHAnsi" w:cstheme="minorHAnsi"/>
                <w:caps/>
                <w:color w:val="000000"/>
                <w:sz w:val="22"/>
                <w:szCs w:val="22"/>
                <w:lang w:val="nl-NL"/>
              </w:rPr>
              <w:t>Projectfinanciering</w:t>
            </w:r>
          </w:p>
        </w:tc>
      </w:tr>
      <w:tr w:rsidR="00552A2A" w:rsidRPr="005A65C4" w14:paraId="3C7466D5"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26249BEC"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Beleidsruimte (begroot)</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657E61A2"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50.000.000 EUR</w:t>
            </w:r>
          </w:p>
        </w:tc>
      </w:tr>
      <w:tr w:rsidR="00552A2A" w:rsidRPr="005A65C4" w14:paraId="04E690CC"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5899D132"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Uitvoering VAK</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1FFB4082"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0 EUR</w:t>
            </w:r>
          </w:p>
        </w:tc>
      </w:tr>
      <w:tr w:rsidR="00552A2A" w:rsidRPr="005A65C4" w14:paraId="00289161"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1C4DA639"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Uitvoering VEK</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69EE9074"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0 EUR</w:t>
            </w:r>
          </w:p>
        </w:tc>
      </w:tr>
      <w:tr w:rsidR="00552A2A" w:rsidRPr="005A65C4" w14:paraId="3D951F3C" w14:textId="77777777" w:rsidTr="00EA4144">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p w14:paraId="2F5DE48C" w14:textId="77777777" w:rsidR="00552A2A" w:rsidRPr="005A65C4" w:rsidRDefault="00552A2A" w:rsidP="00EA4144">
            <w:pPr>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Oorsprong middelen</w:t>
            </w:r>
          </w:p>
        </w:tc>
        <w:tc>
          <w:tcPr>
            <w:tcW w:w="0" w:type="auto"/>
            <w:tcBorders>
              <w:top w:val="single" w:sz="6" w:space="0" w:color="DDDDDD"/>
              <w:left w:val="single" w:sz="6" w:space="0" w:color="DDDDDD"/>
              <w:bottom w:val="single" w:sz="6" w:space="0" w:color="DDDDDD"/>
              <w:right w:val="single" w:sz="6" w:space="0" w:color="DDDDDD"/>
            </w:tcBorders>
            <w:tcMar>
              <w:top w:w="82" w:type="dxa"/>
              <w:left w:w="82" w:type="dxa"/>
              <w:bottom w:w="82" w:type="dxa"/>
              <w:right w:w="82"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8"/>
            </w:tblGrid>
            <w:tr w:rsidR="00552A2A" w:rsidRPr="005A65C4" w14:paraId="75FDD5F5" w14:textId="77777777" w:rsidTr="00EA4144">
              <w:trPr>
                <w:tblCellSpacing w:w="15" w:type="dxa"/>
              </w:trPr>
              <w:tc>
                <w:tcPr>
                  <w:tcW w:w="0" w:type="auto"/>
                  <w:tcMar>
                    <w:top w:w="75" w:type="dxa"/>
                    <w:left w:w="75" w:type="dxa"/>
                    <w:bottom w:w="75" w:type="dxa"/>
                    <w:right w:w="75" w:type="dxa"/>
                  </w:tcMar>
                  <w:vAlign w:val="center"/>
                  <w:hideMark/>
                </w:tcPr>
                <w:p w14:paraId="40158C14" w14:textId="77777777" w:rsidR="00552A2A" w:rsidRPr="005A65C4" w:rsidRDefault="00552A2A" w:rsidP="00EA4144">
                  <w:pPr>
                    <w:numPr>
                      <w:ilvl w:val="0"/>
                      <w:numId w:val="1"/>
                    </w:numPr>
                    <w:ind w:left="150" w:hanging="201"/>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Europese middelen</w:t>
                  </w:r>
                </w:p>
                <w:p w14:paraId="15ABAC7E" w14:textId="77777777" w:rsidR="00552A2A" w:rsidRPr="005A65C4" w:rsidRDefault="00552A2A" w:rsidP="00EA4144">
                  <w:pPr>
                    <w:numPr>
                      <w:ilvl w:val="1"/>
                      <w:numId w:val="1"/>
                    </w:numPr>
                    <w:ind w:left="870" w:hanging="232"/>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Europees Herstelfonds: 0 EUR</w:t>
                  </w:r>
                </w:p>
                <w:p w14:paraId="76050D5A" w14:textId="77777777" w:rsidR="00552A2A" w:rsidRPr="005A65C4" w:rsidRDefault="00552A2A" w:rsidP="00EA4144">
                  <w:pPr>
                    <w:numPr>
                      <w:ilvl w:val="1"/>
                      <w:numId w:val="1"/>
                    </w:numPr>
                    <w:ind w:left="870" w:hanging="232"/>
                    <w:rPr>
                      <w:rFonts w:asciiTheme="minorHAnsi" w:eastAsia="Segoe UI" w:hAnsiTheme="minorHAnsi" w:cstheme="minorHAnsi"/>
                      <w:color w:val="000000"/>
                      <w:sz w:val="22"/>
                      <w:szCs w:val="22"/>
                      <w:lang w:val="nl-NL"/>
                    </w:rPr>
                  </w:pPr>
                  <w:proofErr w:type="spellStart"/>
                  <w:r w:rsidRPr="005A65C4">
                    <w:rPr>
                      <w:rFonts w:asciiTheme="minorHAnsi" w:eastAsia="Segoe UI" w:hAnsiTheme="minorHAnsi" w:cstheme="minorHAnsi"/>
                      <w:color w:val="000000"/>
                      <w:sz w:val="22"/>
                      <w:szCs w:val="22"/>
                      <w:lang w:val="nl-NL"/>
                    </w:rPr>
                    <w:t>Brexit</w:t>
                  </w:r>
                  <w:proofErr w:type="spellEnd"/>
                  <w:r w:rsidRPr="005A65C4">
                    <w:rPr>
                      <w:rFonts w:asciiTheme="minorHAnsi" w:eastAsia="Segoe UI" w:hAnsiTheme="minorHAnsi" w:cstheme="minorHAnsi"/>
                      <w:color w:val="000000"/>
                      <w:sz w:val="22"/>
                      <w:szCs w:val="22"/>
                      <w:lang w:val="nl-NL"/>
                    </w:rPr>
                    <w:t>-fonds: 0 EUR</w:t>
                  </w:r>
                </w:p>
                <w:p w14:paraId="3ADE1CA6" w14:textId="77777777" w:rsidR="00552A2A" w:rsidRPr="005A65C4" w:rsidRDefault="00552A2A" w:rsidP="00EA4144">
                  <w:pPr>
                    <w:numPr>
                      <w:ilvl w:val="1"/>
                      <w:numId w:val="1"/>
                    </w:numPr>
                    <w:ind w:left="870" w:hanging="232"/>
                    <w:rPr>
                      <w:rFonts w:asciiTheme="minorHAnsi" w:eastAsia="Segoe UI" w:hAnsiTheme="minorHAnsi" w:cstheme="minorHAnsi"/>
                      <w:color w:val="000000"/>
                      <w:sz w:val="22"/>
                      <w:szCs w:val="22"/>
                      <w:lang w:val="nl-NL"/>
                    </w:rPr>
                  </w:pPr>
                  <w:proofErr w:type="spellStart"/>
                  <w:r w:rsidRPr="005A65C4">
                    <w:rPr>
                      <w:rFonts w:asciiTheme="minorHAnsi" w:eastAsia="Segoe UI" w:hAnsiTheme="minorHAnsi" w:cstheme="minorHAnsi"/>
                      <w:color w:val="000000"/>
                      <w:sz w:val="22"/>
                      <w:szCs w:val="22"/>
                      <w:lang w:val="nl-NL"/>
                    </w:rPr>
                    <w:t>React</w:t>
                  </w:r>
                  <w:proofErr w:type="spellEnd"/>
                  <w:r w:rsidRPr="005A65C4">
                    <w:rPr>
                      <w:rFonts w:asciiTheme="minorHAnsi" w:eastAsia="Segoe UI" w:hAnsiTheme="minorHAnsi" w:cstheme="minorHAnsi"/>
                      <w:color w:val="000000"/>
                      <w:sz w:val="22"/>
                      <w:szCs w:val="22"/>
                      <w:lang w:val="nl-NL"/>
                    </w:rPr>
                    <w:t xml:space="preserve"> EU: 0 EUR</w:t>
                  </w:r>
                </w:p>
              </w:tc>
            </w:tr>
            <w:tr w:rsidR="00552A2A" w:rsidRPr="005A65C4" w14:paraId="504938B1" w14:textId="77777777" w:rsidTr="00EA4144">
              <w:trPr>
                <w:tblCellSpacing w:w="15" w:type="dxa"/>
              </w:trPr>
              <w:tc>
                <w:tcPr>
                  <w:tcW w:w="0" w:type="auto"/>
                  <w:tcMar>
                    <w:top w:w="75" w:type="dxa"/>
                    <w:left w:w="75" w:type="dxa"/>
                    <w:bottom w:w="75" w:type="dxa"/>
                    <w:right w:w="75" w:type="dxa"/>
                  </w:tcMar>
                  <w:vAlign w:val="center"/>
                  <w:hideMark/>
                </w:tcPr>
                <w:p w14:paraId="2606070D" w14:textId="77777777" w:rsidR="00552A2A" w:rsidRPr="005A65C4" w:rsidRDefault="00552A2A" w:rsidP="00EA4144">
                  <w:pPr>
                    <w:numPr>
                      <w:ilvl w:val="0"/>
                      <w:numId w:val="2"/>
                    </w:numPr>
                    <w:ind w:left="150" w:hanging="201"/>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Vlaamse relancemiddelen: 0 EUR</w:t>
                  </w:r>
                </w:p>
              </w:tc>
            </w:tr>
            <w:tr w:rsidR="00552A2A" w:rsidRPr="005A65C4" w14:paraId="302D31FC" w14:textId="77777777" w:rsidTr="00EA4144">
              <w:trPr>
                <w:tblCellSpacing w:w="15" w:type="dxa"/>
              </w:trPr>
              <w:tc>
                <w:tcPr>
                  <w:tcW w:w="0" w:type="auto"/>
                  <w:tcMar>
                    <w:top w:w="75" w:type="dxa"/>
                    <w:left w:w="75" w:type="dxa"/>
                    <w:bottom w:w="75" w:type="dxa"/>
                    <w:right w:w="75" w:type="dxa"/>
                  </w:tcMar>
                  <w:vAlign w:val="center"/>
                  <w:hideMark/>
                </w:tcPr>
                <w:p w14:paraId="2410B645" w14:textId="77777777" w:rsidR="00552A2A" w:rsidRPr="005A65C4" w:rsidRDefault="00552A2A" w:rsidP="00EA4144">
                  <w:pPr>
                    <w:numPr>
                      <w:ilvl w:val="0"/>
                      <w:numId w:val="3"/>
                    </w:numPr>
                    <w:ind w:left="150" w:hanging="201"/>
                    <w:rPr>
                      <w:rFonts w:asciiTheme="minorHAnsi" w:eastAsia="Segoe UI" w:hAnsiTheme="minorHAnsi" w:cstheme="minorHAnsi"/>
                      <w:color w:val="000000"/>
                      <w:sz w:val="22"/>
                      <w:szCs w:val="22"/>
                      <w:lang w:val="nl-NL"/>
                    </w:rPr>
                  </w:pPr>
                  <w:r w:rsidRPr="005A65C4">
                    <w:rPr>
                      <w:rFonts w:asciiTheme="minorHAnsi" w:eastAsia="Segoe UI" w:hAnsiTheme="minorHAnsi" w:cstheme="minorHAnsi"/>
                      <w:color w:val="000000"/>
                      <w:sz w:val="22"/>
                      <w:szCs w:val="22"/>
                      <w:lang w:val="nl-NL"/>
                    </w:rPr>
                    <w:t>Reguliere Vlaamse middelen: 0 EUR</w:t>
                  </w:r>
                </w:p>
              </w:tc>
            </w:tr>
          </w:tbl>
          <w:p w14:paraId="50E35DDF" w14:textId="77777777" w:rsidR="00552A2A" w:rsidRPr="005A65C4" w:rsidRDefault="00552A2A" w:rsidP="00EA4144">
            <w:pPr>
              <w:rPr>
                <w:rFonts w:asciiTheme="minorHAnsi" w:eastAsia="Segoe UI" w:hAnsiTheme="minorHAnsi" w:cstheme="minorHAnsi"/>
                <w:color w:val="000000"/>
                <w:sz w:val="22"/>
                <w:szCs w:val="22"/>
                <w:lang w:val="nl-NL"/>
              </w:rPr>
            </w:pPr>
          </w:p>
        </w:tc>
      </w:tr>
    </w:tbl>
    <w:p w14:paraId="1CDC17DE" w14:textId="77777777" w:rsidR="00552A2A" w:rsidRPr="005A65C4" w:rsidRDefault="00552A2A" w:rsidP="00552A2A">
      <w:pPr>
        <w:spacing w:after="600"/>
        <w:rPr>
          <w:rFonts w:asciiTheme="minorHAnsi" w:eastAsia="Segoe UI" w:hAnsiTheme="minorHAnsi" w:cstheme="minorHAnsi"/>
          <w:lang w:val="nl-NL"/>
        </w:rPr>
      </w:pPr>
    </w:p>
    <w:p w14:paraId="428C55AC" w14:textId="77777777" w:rsidR="00FD6C54" w:rsidRDefault="00FD6C54"/>
    <w:sectPr w:rsidR="00FD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80"/>
    <w:multiLevelType w:val="hybridMultilevel"/>
    <w:tmpl w:val="00000180"/>
    <w:lvl w:ilvl="0" w:tplc="E92E4200">
      <w:start w:val="1"/>
      <w:numFmt w:val="bullet"/>
      <w:lvlText w:val=""/>
      <w:lvlJc w:val="left"/>
      <w:pPr>
        <w:ind w:left="720" w:hanging="360"/>
      </w:pPr>
      <w:rPr>
        <w:rFonts w:ascii="Symbol" w:hAnsi="Symbol"/>
      </w:rPr>
    </w:lvl>
    <w:lvl w:ilvl="1" w:tplc="80D04646">
      <w:start w:val="1"/>
      <w:numFmt w:val="bullet"/>
      <w:lvlText w:val="o"/>
      <w:lvlJc w:val="left"/>
      <w:pPr>
        <w:ind w:left="1440" w:hanging="360"/>
      </w:pPr>
      <w:rPr>
        <w:rFonts w:ascii="Courier New" w:hAnsi="Courier New"/>
      </w:rPr>
    </w:lvl>
    <w:lvl w:ilvl="2" w:tplc="754C6656">
      <w:start w:val="1"/>
      <w:numFmt w:val="bullet"/>
      <w:lvlText w:val=""/>
      <w:lvlJc w:val="left"/>
      <w:pPr>
        <w:tabs>
          <w:tab w:val="num" w:pos="2160"/>
        </w:tabs>
        <w:ind w:left="2160" w:hanging="360"/>
      </w:pPr>
      <w:rPr>
        <w:rFonts w:ascii="Wingdings" w:hAnsi="Wingdings"/>
      </w:rPr>
    </w:lvl>
    <w:lvl w:ilvl="3" w:tplc="50C278EA">
      <w:start w:val="1"/>
      <w:numFmt w:val="bullet"/>
      <w:lvlText w:val=""/>
      <w:lvlJc w:val="left"/>
      <w:pPr>
        <w:tabs>
          <w:tab w:val="num" w:pos="2880"/>
        </w:tabs>
        <w:ind w:left="2880" w:hanging="360"/>
      </w:pPr>
      <w:rPr>
        <w:rFonts w:ascii="Symbol" w:hAnsi="Symbol"/>
      </w:rPr>
    </w:lvl>
    <w:lvl w:ilvl="4" w:tplc="22F2EC58">
      <w:start w:val="1"/>
      <w:numFmt w:val="bullet"/>
      <w:lvlText w:val="o"/>
      <w:lvlJc w:val="left"/>
      <w:pPr>
        <w:tabs>
          <w:tab w:val="num" w:pos="3600"/>
        </w:tabs>
        <w:ind w:left="3600" w:hanging="360"/>
      </w:pPr>
      <w:rPr>
        <w:rFonts w:ascii="Courier New" w:hAnsi="Courier New"/>
      </w:rPr>
    </w:lvl>
    <w:lvl w:ilvl="5" w:tplc="9500AF8C">
      <w:start w:val="1"/>
      <w:numFmt w:val="bullet"/>
      <w:lvlText w:val=""/>
      <w:lvlJc w:val="left"/>
      <w:pPr>
        <w:tabs>
          <w:tab w:val="num" w:pos="4320"/>
        </w:tabs>
        <w:ind w:left="4320" w:hanging="360"/>
      </w:pPr>
      <w:rPr>
        <w:rFonts w:ascii="Wingdings" w:hAnsi="Wingdings"/>
      </w:rPr>
    </w:lvl>
    <w:lvl w:ilvl="6" w:tplc="37866DB0">
      <w:start w:val="1"/>
      <w:numFmt w:val="bullet"/>
      <w:lvlText w:val=""/>
      <w:lvlJc w:val="left"/>
      <w:pPr>
        <w:tabs>
          <w:tab w:val="num" w:pos="5040"/>
        </w:tabs>
        <w:ind w:left="5040" w:hanging="360"/>
      </w:pPr>
      <w:rPr>
        <w:rFonts w:ascii="Symbol" w:hAnsi="Symbol"/>
      </w:rPr>
    </w:lvl>
    <w:lvl w:ilvl="7" w:tplc="756ADE50">
      <w:start w:val="1"/>
      <w:numFmt w:val="bullet"/>
      <w:lvlText w:val="o"/>
      <w:lvlJc w:val="left"/>
      <w:pPr>
        <w:tabs>
          <w:tab w:val="num" w:pos="5760"/>
        </w:tabs>
        <w:ind w:left="5760" w:hanging="360"/>
      </w:pPr>
      <w:rPr>
        <w:rFonts w:ascii="Courier New" w:hAnsi="Courier New"/>
      </w:rPr>
    </w:lvl>
    <w:lvl w:ilvl="8" w:tplc="336AFA1C">
      <w:start w:val="1"/>
      <w:numFmt w:val="bullet"/>
      <w:lvlText w:val=""/>
      <w:lvlJc w:val="left"/>
      <w:pPr>
        <w:tabs>
          <w:tab w:val="num" w:pos="6480"/>
        </w:tabs>
        <w:ind w:left="6480" w:hanging="360"/>
      </w:pPr>
      <w:rPr>
        <w:rFonts w:ascii="Wingdings" w:hAnsi="Wingdings"/>
      </w:rPr>
    </w:lvl>
  </w:abstractNum>
  <w:abstractNum w:abstractNumId="1" w15:restartNumberingAfterBreak="0">
    <w:nsid w:val="00000181"/>
    <w:multiLevelType w:val="hybridMultilevel"/>
    <w:tmpl w:val="00000181"/>
    <w:lvl w:ilvl="0" w:tplc="1750A95E">
      <w:start w:val="1"/>
      <w:numFmt w:val="bullet"/>
      <w:lvlText w:val=""/>
      <w:lvlJc w:val="left"/>
      <w:pPr>
        <w:ind w:left="720" w:hanging="360"/>
      </w:pPr>
      <w:rPr>
        <w:rFonts w:ascii="Symbol" w:hAnsi="Symbol"/>
      </w:rPr>
    </w:lvl>
    <w:lvl w:ilvl="1" w:tplc="0BAACE8E">
      <w:start w:val="1"/>
      <w:numFmt w:val="bullet"/>
      <w:lvlText w:val="o"/>
      <w:lvlJc w:val="left"/>
      <w:pPr>
        <w:tabs>
          <w:tab w:val="num" w:pos="1440"/>
        </w:tabs>
        <w:ind w:left="1440" w:hanging="360"/>
      </w:pPr>
      <w:rPr>
        <w:rFonts w:ascii="Courier New" w:hAnsi="Courier New"/>
      </w:rPr>
    </w:lvl>
    <w:lvl w:ilvl="2" w:tplc="B9CA1FF4">
      <w:start w:val="1"/>
      <w:numFmt w:val="bullet"/>
      <w:lvlText w:val=""/>
      <w:lvlJc w:val="left"/>
      <w:pPr>
        <w:tabs>
          <w:tab w:val="num" w:pos="2160"/>
        </w:tabs>
        <w:ind w:left="2160" w:hanging="360"/>
      </w:pPr>
      <w:rPr>
        <w:rFonts w:ascii="Wingdings" w:hAnsi="Wingdings"/>
      </w:rPr>
    </w:lvl>
    <w:lvl w:ilvl="3" w:tplc="18E4673E">
      <w:start w:val="1"/>
      <w:numFmt w:val="bullet"/>
      <w:lvlText w:val=""/>
      <w:lvlJc w:val="left"/>
      <w:pPr>
        <w:tabs>
          <w:tab w:val="num" w:pos="2880"/>
        </w:tabs>
        <w:ind w:left="2880" w:hanging="360"/>
      </w:pPr>
      <w:rPr>
        <w:rFonts w:ascii="Symbol" w:hAnsi="Symbol"/>
      </w:rPr>
    </w:lvl>
    <w:lvl w:ilvl="4" w:tplc="39F83982">
      <w:start w:val="1"/>
      <w:numFmt w:val="bullet"/>
      <w:lvlText w:val="o"/>
      <w:lvlJc w:val="left"/>
      <w:pPr>
        <w:tabs>
          <w:tab w:val="num" w:pos="3600"/>
        </w:tabs>
        <w:ind w:left="3600" w:hanging="360"/>
      </w:pPr>
      <w:rPr>
        <w:rFonts w:ascii="Courier New" w:hAnsi="Courier New"/>
      </w:rPr>
    </w:lvl>
    <w:lvl w:ilvl="5" w:tplc="BDC6D566">
      <w:start w:val="1"/>
      <w:numFmt w:val="bullet"/>
      <w:lvlText w:val=""/>
      <w:lvlJc w:val="left"/>
      <w:pPr>
        <w:tabs>
          <w:tab w:val="num" w:pos="4320"/>
        </w:tabs>
        <w:ind w:left="4320" w:hanging="360"/>
      </w:pPr>
      <w:rPr>
        <w:rFonts w:ascii="Wingdings" w:hAnsi="Wingdings"/>
      </w:rPr>
    </w:lvl>
    <w:lvl w:ilvl="6" w:tplc="3FFE8602">
      <w:start w:val="1"/>
      <w:numFmt w:val="bullet"/>
      <w:lvlText w:val=""/>
      <w:lvlJc w:val="left"/>
      <w:pPr>
        <w:tabs>
          <w:tab w:val="num" w:pos="5040"/>
        </w:tabs>
        <w:ind w:left="5040" w:hanging="360"/>
      </w:pPr>
      <w:rPr>
        <w:rFonts w:ascii="Symbol" w:hAnsi="Symbol"/>
      </w:rPr>
    </w:lvl>
    <w:lvl w:ilvl="7" w:tplc="7386709A">
      <w:start w:val="1"/>
      <w:numFmt w:val="bullet"/>
      <w:lvlText w:val="o"/>
      <w:lvlJc w:val="left"/>
      <w:pPr>
        <w:tabs>
          <w:tab w:val="num" w:pos="5760"/>
        </w:tabs>
        <w:ind w:left="5760" w:hanging="360"/>
      </w:pPr>
      <w:rPr>
        <w:rFonts w:ascii="Courier New" w:hAnsi="Courier New"/>
      </w:rPr>
    </w:lvl>
    <w:lvl w:ilvl="8" w:tplc="22EC03F2">
      <w:start w:val="1"/>
      <w:numFmt w:val="bullet"/>
      <w:lvlText w:val=""/>
      <w:lvlJc w:val="left"/>
      <w:pPr>
        <w:tabs>
          <w:tab w:val="num" w:pos="6480"/>
        </w:tabs>
        <w:ind w:left="6480" w:hanging="360"/>
      </w:pPr>
      <w:rPr>
        <w:rFonts w:ascii="Wingdings" w:hAnsi="Wingdings"/>
      </w:rPr>
    </w:lvl>
  </w:abstractNum>
  <w:abstractNum w:abstractNumId="2" w15:restartNumberingAfterBreak="0">
    <w:nsid w:val="00000182"/>
    <w:multiLevelType w:val="hybridMultilevel"/>
    <w:tmpl w:val="00000182"/>
    <w:lvl w:ilvl="0" w:tplc="B644C622">
      <w:start w:val="1"/>
      <w:numFmt w:val="bullet"/>
      <w:lvlText w:val=""/>
      <w:lvlJc w:val="left"/>
      <w:pPr>
        <w:ind w:left="720" w:hanging="360"/>
      </w:pPr>
      <w:rPr>
        <w:rFonts w:ascii="Symbol" w:hAnsi="Symbol"/>
      </w:rPr>
    </w:lvl>
    <w:lvl w:ilvl="1" w:tplc="8E724AA8">
      <w:start w:val="1"/>
      <w:numFmt w:val="bullet"/>
      <w:lvlText w:val="o"/>
      <w:lvlJc w:val="left"/>
      <w:pPr>
        <w:tabs>
          <w:tab w:val="num" w:pos="1440"/>
        </w:tabs>
        <w:ind w:left="1440" w:hanging="360"/>
      </w:pPr>
      <w:rPr>
        <w:rFonts w:ascii="Courier New" w:hAnsi="Courier New"/>
      </w:rPr>
    </w:lvl>
    <w:lvl w:ilvl="2" w:tplc="65E0A326">
      <w:start w:val="1"/>
      <w:numFmt w:val="bullet"/>
      <w:lvlText w:val=""/>
      <w:lvlJc w:val="left"/>
      <w:pPr>
        <w:tabs>
          <w:tab w:val="num" w:pos="2160"/>
        </w:tabs>
        <w:ind w:left="2160" w:hanging="360"/>
      </w:pPr>
      <w:rPr>
        <w:rFonts w:ascii="Wingdings" w:hAnsi="Wingdings"/>
      </w:rPr>
    </w:lvl>
    <w:lvl w:ilvl="3" w:tplc="7F4C044A">
      <w:start w:val="1"/>
      <w:numFmt w:val="bullet"/>
      <w:lvlText w:val=""/>
      <w:lvlJc w:val="left"/>
      <w:pPr>
        <w:tabs>
          <w:tab w:val="num" w:pos="2880"/>
        </w:tabs>
        <w:ind w:left="2880" w:hanging="360"/>
      </w:pPr>
      <w:rPr>
        <w:rFonts w:ascii="Symbol" w:hAnsi="Symbol"/>
      </w:rPr>
    </w:lvl>
    <w:lvl w:ilvl="4" w:tplc="F490E220">
      <w:start w:val="1"/>
      <w:numFmt w:val="bullet"/>
      <w:lvlText w:val="o"/>
      <w:lvlJc w:val="left"/>
      <w:pPr>
        <w:tabs>
          <w:tab w:val="num" w:pos="3600"/>
        </w:tabs>
        <w:ind w:left="3600" w:hanging="360"/>
      </w:pPr>
      <w:rPr>
        <w:rFonts w:ascii="Courier New" w:hAnsi="Courier New"/>
      </w:rPr>
    </w:lvl>
    <w:lvl w:ilvl="5" w:tplc="A11C4DAC">
      <w:start w:val="1"/>
      <w:numFmt w:val="bullet"/>
      <w:lvlText w:val=""/>
      <w:lvlJc w:val="left"/>
      <w:pPr>
        <w:tabs>
          <w:tab w:val="num" w:pos="4320"/>
        </w:tabs>
        <w:ind w:left="4320" w:hanging="360"/>
      </w:pPr>
      <w:rPr>
        <w:rFonts w:ascii="Wingdings" w:hAnsi="Wingdings"/>
      </w:rPr>
    </w:lvl>
    <w:lvl w:ilvl="6" w:tplc="102CEDD0">
      <w:start w:val="1"/>
      <w:numFmt w:val="bullet"/>
      <w:lvlText w:val=""/>
      <w:lvlJc w:val="left"/>
      <w:pPr>
        <w:tabs>
          <w:tab w:val="num" w:pos="5040"/>
        </w:tabs>
        <w:ind w:left="5040" w:hanging="360"/>
      </w:pPr>
      <w:rPr>
        <w:rFonts w:ascii="Symbol" w:hAnsi="Symbol"/>
      </w:rPr>
    </w:lvl>
    <w:lvl w:ilvl="7" w:tplc="E4B238D4">
      <w:start w:val="1"/>
      <w:numFmt w:val="bullet"/>
      <w:lvlText w:val="o"/>
      <w:lvlJc w:val="left"/>
      <w:pPr>
        <w:tabs>
          <w:tab w:val="num" w:pos="5760"/>
        </w:tabs>
        <w:ind w:left="5760" w:hanging="360"/>
      </w:pPr>
      <w:rPr>
        <w:rFonts w:ascii="Courier New" w:hAnsi="Courier New"/>
      </w:rPr>
    </w:lvl>
    <w:lvl w:ilvl="8" w:tplc="6E3EA72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2A"/>
    <w:rsid w:val="00552A2A"/>
    <w:rsid w:val="00FD6C54"/>
    <w:rsid w:val="00FF68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9673"/>
  <w15:chartTrackingRefBased/>
  <w15:docId w15:val="{D8E7D6F2-DFC7-479E-B67E-844927E5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2A2A"/>
    <w:pPr>
      <w:spacing w:after="0" w:line="240" w:lineRule="auto"/>
    </w:pPr>
    <w:rPr>
      <w:rFonts w:ascii="Times New Roman" w:eastAsia="Times New Roman" w:hAnsi="Times New Roman" w:cs="Times New Roman"/>
      <w:sz w:val="24"/>
      <w:szCs w:val="24"/>
      <w:lang w:val="en-US"/>
    </w:rPr>
  </w:style>
  <w:style w:type="paragraph" w:styleId="Kop2">
    <w:name w:val="heading 2"/>
    <w:basedOn w:val="Standaard"/>
    <w:next w:val="Standaard"/>
    <w:link w:val="Kop2Char"/>
    <w:uiPriority w:val="9"/>
    <w:qFormat/>
    <w:rsid w:val="00552A2A"/>
    <w:pPr>
      <w:keepNext/>
      <w:keepLines/>
      <w:spacing w:before="40"/>
      <w:outlineLvl w:val="1"/>
    </w:pPr>
    <w:rPr>
      <w:b/>
      <w:bCs/>
      <w:color w:val="2F5496"/>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52A2A"/>
    <w:rPr>
      <w:rFonts w:ascii="Times New Roman" w:eastAsia="Times New Roman" w:hAnsi="Times New Roman" w:cs="Times New Roman"/>
      <w:b/>
      <w:bCs/>
      <w:color w:val="2F5496"/>
      <w:sz w:val="36"/>
      <w:szCs w:val="36"/>
      <w:lang w:val="en-US"/>
    </w:rPr>
  </w:style>
  <w:style w:type="character" w:customStyle="1" w:styleId="projectRapportering285e5c00allProject285e5c00titleField285e5c00Character">
    <w:name w:val="projectRapportering_285e5c00_allProject_285e5c00_titleField_285e5c00 Character"/>
    <w:basedOn w:val="Standaardalinea-lettertype"/>
    <w:rsid w:val="00552A2A"/>
    <w:rPr>
      <w:b w:val="0"/>
      <w:bCs w:val="0"/>
      <w:caps/>
      <w:sz w:val="24"/>
      <w:szCs w:val="24"/>
      <w:shd w:val="clear" w:color="auto" w:fill="D3D3D3"/>
    </w:rPr>
  </w:style>
  <w:style w:type="character" w:customStyle="1" w:styleId="projectRapportering285e5c00a">
    <w:name w:val="projectRapportering_285e5c00_a"/>
    <w:basedOn w:val="Standaardalinea-lettertype"/>
    <w:rsid w:val="00552A2A"/>
  </w:style>
  <w:style w:type="table" w:customStyle="1" w:styleId="projectRapportering285e5c00allProject285e5c00rapportTable285e5c00">
    <w:name w:val="projectRapportering_285e5c00_allProject_285e5c00_rapportTable_285e5c00"/>
    <w:basedOn w:val="Standaardtabel"/>
    <w:rsid w:val="00552A2A"/>
    <w:pPr>
      <w:spacing w:after="0" w:line="240" w:lineRule="auto"/>
    </w:pPr>
    <w:rPr>
      <w:rFonts w:ascii="Times New Roman" w:eastAsia="Times New Roman" w:hAnsi="Times New Roman" w:cs="Times New Roman"/>
      <w:sz w:val="20"/>
      <w:szCs w:val="20"/>
      <w:lang w:val="en-US"/>
    </w:rPr>
    <w:tblPr/>
  </w:style>
  <w:style w:type="character" w:customStyle="1" w:styleId="projectRapportering285e5c00allProject285e5c00rapportTable285e5c00tdcolorLightGreen285e5c00">
    <w:name w:val="projectRapportering_285e5c00_allProject_285e5c00_rapportTable_285e5c00_td_colorLightGreen_285e5c00"/>
    <w:basedOn w:val="Standaardalinea-lettertype"/>
    <w:rsid w:val="00552A2A"/>
    <w:rPr>
      <w:shd w:val="clear" w:color="auto" w:fill="32CD32"/>
    </w:rPr>
  </w:style>
  <w:style w:type="character" w:customStyle="1" w:styleId="projectRapportering285e5c00allProject285e5c00rapportTable285e5c00tdcolorDefault285e5c00">
    <w:name w:val="projectRapportering_285e5c00_allProject_285e5c00_rapportTable_285e5c00_td_colorDefault_285e5c00"/>
    <w:basedOn w:val="Standaardalinea-lettertype"/>
    <w:rsid w:val="00552A2A"/>
    <w:rPr>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laamseoverheid-my.sharepoint.com/_layouts/15/me.aspx/?p=hilde.crevits@vlaanderen.be&amp;v=wor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5179</Characters>
  <Application>Microsoft Office Word</Application>
  <DocSecurity>4</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Vanderstappen Pieter</dc:creator>
  <cp:keywords/>
  <dc:description/>
  <cp:lastModifiedBy>Tomas Coppens</cp:lastModifiedBy>
  <cp:revision>2</cp:revision>
  <dcterms:created xsi:type="dcterms:W3CDTF">2021-07-30T13:00:00Z</dcterms:created>
  <dcterms:modified xsi:type="dcterms:W3CDTF">2021-07-30T13:00:00Z</dcterms:modified>
</cp:coreProperties>
</file>