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F7633" w14:textId="6982D08B" w:rsidR="00250459" w:rsidRDefault="00D73E76" w:rsidP="00FB00E2">
      <w:pPr>
        <w:pBdr>
          <w:top w:val="single" w:sz="4" w:space="1" w:color="auto"/>
          <w:left w:val="single" w:sz="4" w:space="4" w:color="auto"/>
          <w:bottom w:val="single" w:sz="4" w:space="1" w:color="auto"/>
          <w:right w:val="single" w:sz="4" w:space="4" w:color="auto"/>
        </w:pBdr>
        <w:jc w:val="center"/>
        <w:rPr>
          <w:b/>
          <w:bCs/>
        </w:rPr>
      </w:pPr>
      <w:r w:rsidRPr="00D73E76">
        <w:rPr>
          <w:b/>
          <w:bCs/>
        </w:rPr>
        <w:t>Wijzigingen decreet integraal handelsvestigingsbeleid op komst</w:t>
      </w:r>
      <w:r w:rsidR="004E53A7">
        <w:rPr>
          <w:b/>
          <w:bCs/>
        </w:rPr>
        <w:br/>
        <w:t>Beschouwingen VVSG – 30 augustus 2022</w:t>
      </w:r>
    </w:p>
    <w:p w14:paraId="57FD0850" w14:textId="33B555B6" w:rsidR="00D73E76" w:rsidRDefault="00D73E76" w:rsidP="00D73E76">
      <w:r>
        <w:t xml:space="preserve">Op 15 juli 2022 nam de Vlaams Regering een eerste principiële beslissing om het decreet integraal handelsvestigingsbeleid (IHB) te wijzigen.  Naar aanleiding van de communicatie van ministers </w:t>
      </w:r>
      <w:proofErr w:type="spellStart"/>
      <w:r>
        <w:t>Brouns</w:t>
      </w:r>
      <w:proofErr w:type="spellEnd"/>
      <w:r>
        <w:t xml:space="preserve"> en Demir eerder deze week, schetsen we graag de context van deze (mogelijke) wijzigingen. </w:t>
      </w:r>
    </w:p>
    <w:p w14:paraId="49F0F5EC" w14:textId="77C6AF58" w:rsidR="00D73E76" w:rsidRDefault="00D73E76" w:rsidP="00685A48">
      <w:pPr>
        <w:pBdr>
          <w:bottom w:val="single" w:sz="4" w:space="1" w:color="auto"/>
        </w:pBdr>
        <w:rPr>
          <w:b/>
          <w:bCs/>
        </w:rPr>
      </w:pPr>
      <w:r>
        <w:rPr>
          <w:b/>
          <w:bCs/>
        </w:rPr>
        <w:t>Vooraf</w:t>
      </w:r>
    </w:p>
    <w:p w14:paraId="6F5947E1" w14:textId="05C6D203" w:rsidR="00D73E76" w:rsidRDefault="00EA7CB6" w:rsidP="00D73E76">
      <w:r>
        <w:t>De Vlaamse Regering kondigde in haar regeerakkoord al de evaluatie van het decreet</w:t>
      </w:r>
      <w:r w:rsidR="00C87946" w:rsidRPr="00C87946">
        <w:t xml:space="preserve"> </w:t>
      </w:r>
      <w:r w:rsidR="00C87946">
        <w:t>aan</w:t>
      </w:r>
      <w:r>
        <w:t xml:space="preserve">, in samenspraak met de VVSG en de handelsorganisaties. Na een uitgebreide bevraging van de gemeenten, voornamelijk via de Overlegtafels Economie van de VVSG, </w:t>
      </w:r>
      <w:r w:rsidR="00CB773F">
        <w:t xml:space="preserve">stelden we een </w:t>
      </w:r>
      <w:hyperlink r:id="rId9" w:history="1">
        <w:r w:rsidR="00CB773F">
          <w:rPr>
            <w:rStyle w:val="Hyperlink"/>
            <w:rFonts w:ascii="Calibri" w:eastAsia="Times New Roman" w:hAnsi="Calibri" w:cs="Calibri"/>
          </w:rPr>
          <w:t>standpuntnota</w:t>
        </w:r>
      </w:hyperlink>
      <w:r w:rsidR="00CB773F">
        <w:rPr>
          <w:rFonts w:ascii="Calibri" w:eastAsia="Times New Roman" w:hAnsi="Calibri" w:cs="Calibri"/>
        </w:rPr>
        <w:t xml:space="preserve"> </w:t>
      </w:r>
      <w:r w:rsidR="00CB773F">
        <w:t>op met onze voornaamste verzuchtingen.</w:t>
      </w:r>
    </w:p>
    <w:p w14:paraId="57B34EB4" w14:textId="755D4D28" w:rsidR="00D73E76" w:rsidRDefault="00CB773F" w:rsidP="00CB773F">
      <w:r>
        <w:t xml:space="preserve">Het ontwerp van decreet dat minister </w:t>
      </w:r>
      <w:proofErr w:type="spellStart"/>
      <w:r>
        <w:t>Brouns</w:t>
      </w:r>
      <w:proofErr w:type="spellEnd"/>
      <w:r>
        <w:t xml:space="preserve">, samen met minister Demir en minister Somers voorlegde aan de Vlaamse Regering komt hier deels aan tegemoet. </w:t>
      </w:r>
    </w:p>
    <w:p w14:paraId="23C69E0D" w14:textId="656024C9" w:rsidR="00685A48" w:rsidRDefault="00CB773F" w:rsidP="00CB773F">
      <w:r>
        <w:t xml:space="preserve">U kan het </w:t>
      </w:r>
      <w:hyperlink r:id="rId10" w:history="1">
        <w:r>
          <w:rPr>
            <w:rStyle w:val="Hyperlink"/>
            <w:rFonts w:ascii="Calibri" w:eastAsia="Times New Roman" w:hAnsi="Calibri" w:cs="Calibri"/>
          </w:rPr>
          <w:t>ontwerp van decreet</w:t>
        </w:r>
      </w:hyperlink>
      <w:r>
        <w:rPr>
          <w:rFonts w:eastAsia="Times New Roman"/>
        </w:rPr>
        <w:t xml:space="preserve"> hier lezen, samen met de begeleidende </w:t>
      </w:r>
      <w:hyperlink r:id="rId11" w:history="1">
        <w:r>
          <w:rPr>
            <w:rStyle w:val="Hyperlink"/>
            <w:rFonts w:ascii="Calibri" w:eastAsia="Times New Roman" w:hAnsi="Calibri" w:cs="Calibri"/>
          </w:rPr>
          <w:t>nota aan de Vlaamse Regering</w:t>
        </w:r>
      </w:hyperlink>
      <w:r>
        <w:rPr>
          <w:rFonts w:eastAsia="Times New Roman"/>
        </w:rPr>
        <w:t xml:space="preserve"> en de </w:t>
      </w:r>
      <w:hyperlink r:id="rId12" w:history="1">
        <w:r>
          <w:rPr>
            <w:rStyle w:val="Hyperlink"/>
            <w:rFonts w:ascii="Calibri" w:eastAsia="Times New Roman" w:hAnsi="Calibri" w:cs="Calibri"/>
          </w:rPr>
          <w:t>memorie van toelichting</w:t>
        </w:r>
      </w:hyperlink>
      <w:r>
        <w:rPr>
          <w:rFonts w:eastAsia="Times New Roman"/>
        </w:rPr>
        <w:t>.</w:t>
      </w:r>
      <w:r w:rsidR="00520161">
        <w:rPr>
          <w:rFonts w:eastAsia="Times New Roman"/>
        </w:rPr>
        <w:t xml:space="preserve"> </w:t>
      </w:r>
      <w:r>
        <w:t>Louter om de leesbaarheid van het ontwerp van decreet te verhogen stelden we een</w:t>
      </w:r>
      <w:r w:rsidR="00B305B5">
        <w:t xml:space="preserve"> </w:t>
      </w:r>
      <w:hyperlink r:id="rId13" w:history="1">
        <w:r w:rsidRPr="00B305B5">
          <w:rPr>
            <w:rStyle w:val="Hyperlink"/>
          </w:rPr>
          <w:t>gecoördineerde versie van het ontwerpdecreet</w:t>
        </w:r>
      </w:hyperlink>
      <w:r>
        <w:t xml:space="preserve"> op. Let op: het gaat niet om beslist beleid, laat staan dat deze wijzigingen al in voege zouden getreden zijn.</w:t>
      </w:r>
    </w:p>
    <w:p w14:paraId="1A97C16C" w14:textId="65669D9E" w:rsidR="00D73E76" w:rsidRPr="00C87946" w:rsidRDefault="00520161" w:rsidP="00685A48">
      <w:pPr>
        <w:pBdr>
          <w:bottom w:val="single" w:sz="4" w:space="1" w:color="auto"/>
        </w:pBdr>
      </w:pPr>
      <w:r>
        <w:rPr>
          <w:b/>
          <w:bCs/>
        </w:rPr>
        <w:t>Aangekondigde</w:t>
      </w:r>
      <w:r w:rsidR="00CB773F">
        <w:rPr>
          <w:b/>
          <w:bCs/>
        </w:rPr>
        <w:t xml:space="preserve"> w</w:t>
      </w:r>
      <w:r w:rsidR="00D73E76">
        <w:rPr>
          <w:b/>
          <w:bCs/>
        </w:rPr>
        <w:t>ijzigingen</w:t>
      </w:r>
    </w:p>
    <w:p w14:paraId="6A3A9F1E" w14:textId="50E9D4A7" w:rsidR="00520161" w:rsidRDefault="00520161" w:rsidP="00D73E76">
      <w:r>
        <w:t xml:space="preserve">Hieronder overlopen we kort de voornaamste </w:t>
      </w:r>
      <w:r w:rsidR="00BE1D69">
        <w:t xml:space="preserve">aangekondigde </w:t>
      </w:r>
      <w:r>
        <w:t>wijzigingen:</w:t>
      </w:r>
    </w:p>
    <w:p w14:paraId="4AE409AD" w14:textId="33E1F28F" w:rsidR="00D73E76" w:rsidRDefault="00D73E76" w:rsidP="00D73E76">
      <w:r>
        <w:rPr>
          <w:b/>
          <w:bCs/>
        </w:rPr>
        <w:t xml:space="preserve">1. </w:t>
      </w:r>
      <w:r w:rsidR="00BE1D69">
        <w:rPr>
          <w:b/>
          <w:bCs/>
        </w:rPr>
        <w:t>Wijziging d</w:t>
      </w:r>
      <w:r>
        <w:rPr>
          <w:b/>
          <w:bCs/>
        </w:rPr>
        <w:t>efinities</w:t>
      </w:r>
      <w:r>
        <w:t xml:space="preserve"> (art. 3 van wijzigingsdecreet wijzigt art. 2 van IHB)</w:t>
      </w:r>
    </w:p>
    <w:p w14:paraId="29540997" w14:textId="6D768429" w:rsidR="00D73E76" w:rsidRDefault="00D73E76" w:rsidP="00D73E76">
      <w:pPr>
        <w:pStyle w:val="Lijstalinea"/>
        <w:numPr>
          <w:ilvl w:val="0"/>
          <w:numId w:val="3"/>
        </w:numPr>
        <w:spacing w:after="240"/>
        <w:rPr>
          <w:rFonts w:ascii="Calibri" w:eastAsia="Times New Roman" w:hAnsi="Calibri" w:cs="Calibri"/>
          <w:sz w:val="22"/>
          <w:szCs w:val="22"/>
          <w:lang w:eastAsia="en-US"/>
        </w:rPr>
      </w:pPr>
      <w:r>
        <w:rPr>
          <w:rFonts w:ascii="Calibri" w:eastAsia="Times New Roman" w:hAnsi="Calibri" w:cs="Calibri"/>
          <w:b/>
          <w:bCs/>
          <w:sz w:val="22"/>
          <w:szCs w:val="22"/>
          <w:lang w:eastAsia="en-US"/>
        </w:rPr>
        <w:t>Kleinhandelsbedrijf</w:t>
      </w:r>
      <w:r>
        <w:rPr>
          <w:rFonts w:ascii="Calibri" w:eastAsia="Times New Roman" w:hAnsi="Calibri" w:cs="Calibri"/>
          <w:sz w:val="22"/>
          <w:szCs w:val="22"/>
          <w:lang w:eastAsia="en-US"/>
        </w:rPr>
        <w:br/>
      </w:r>
      <w:r w:rsidR="00BE1D69">
        <w:rPr>
          <w:rFonts w:ascii="Calibri" w:eastAsia="Times New Roman" w:hAnsi="Calibri" w:cs="Calibri"/>
          <w:sz w:val="22"/>
          <w:szCs w:val="22"/>
          <w:lang w:eastAsia="en-US"/>
        </w:rPr>
        <w:t xml:space="preserve">De nieuwe </w:t>
      </w:r>
      <w:r>
        <w:rPr>
          <w:rFonts w:ascii="Calibri" w:eastAsia="Times New Roman" w:hAnsi="Calibri" w:cs="Calibri"/>
          <w:sz w:val="22"/>
          <w:szCs w:val="22"/>
          <w:lang w:eastAsia="en-US"/>
        </w:rPr>
        <w:t>definitie</w:t>
      </w:r>
      <w:r w:rsidR="00BE1D69">
        <w:rPr>
          <w:rFonts w:ascii="Calibri" w:eastAsia="Times New Roman" w:hAnsi="Calibri" w:cs="Calibri"/>
          <w:sz w:val="22"/>
          <w:szCs w:val="22"/>
          <w:lang w:eastAsia="en-US"/>
        </w:rPr>
        <w:t xml:space="preserve"> zou volgens het ontwerpdecreet als volgt luiden: </w:t>
      </w:r>
      <w:r>
        <w:rPr>
          <w:rFonts w:ascii="Calibri" w:eastAsia="Times New Roman" w:hAnsi="Calibri" w:cs="Calibri"/>
          <w:sz w:val="22"/>
          <w:szCs w:val="22"/>
          <w:lang w:eastAsia="en-US"/>
        </w:rPr>
        <w:t>‘</w:t>
      </w:r>
      <w:r>
        <w:rPr>
          <w:rFonts w:ascii="Calibri" w:eastAsia="Times New Roman" w:hAnsi="Calibri" w:cs="Calibri"/>
          <w:i/>
          <w:iCs/>
          <w:sz w:val="22"/>
          <w:szCs w:val="22"/>
          <w:lang w:eastAsia="en-US"/>
        </w:rPr>
        <w:t xml:space="preserve">een distributie-eenheid waarvan de activiteit volledig of gedeeltelijk bestaat uit het te koop aanbieden of </w:t>
      </w:r>
      <w:proofErr w:type="spellStart"/>
      <w:r>
        <w:rPr>
          <w:rFonts w:ascii="Calibri" w:eastAsia="Times New Roman" w:hAnsi="Calibri" w:cs="Calibri"/>
          <w:i/>
          <w:iCs/>
          <w:sz w:val="22"/>
          <w:szCs w:val="22"/>
          <w:lang w:eastAsia="en-US"/>
        </w:rPr>
        <w:t>wederverkopen</w:t>
      </w:r>
      <w:proofErr w:type="spellEnd"/>
      <w:r>
        <w:rPr>
          <w:rFonts w:ascii="Calibri" w:eastAsia="Times New Roman" w:hAnsi="Calibri" w:cs="Calibri"/>
          <w:i/>
          <w:iCs/>
          <w:sz w:val="22"/>
          <w:szCs w:val="22"/>
          <w:lang w:eastAsia="en-US"/>
        </w:rPr>
        <w:t xml:space="preserve"> van goederen aan consumenten’</w:t>
      </w:r>
      <w:r>
        <w:rPr>
          <w:rFonts w:ascii="Calibri" w:eastAsia="Times New Roman" w:hAnsi="Calibri" w:cs="Calibri"/>
          <w:sz w:val="22"/>
          <w:szCs w:val="22"/>
          <w:lang w:eastAsia="en-US"/>
        </w:rPr>
        <w:br/>
      </w:r>
      <w:r w:rsidR="00685A48">
        <w:rPr>
          <w:rFonts w:ascii="Calibri" w:eastAsia="Times New Roman" w:hAnsi="Calibri" w:cs="Calibri"/>
          <w:sz w:val="22"/>
          <w:szCs w:val="22"/>
          <w:lang w:eastAsia="en-US"/>
        </w:rPr>
        <w:t xml:space="preserve">Vallen </w:t>
      </w:r>
      <w:r w:rsidR="009312AE">
        <w:rPr>
          <w:rFonts w:ascii="Calibri" w:eastAsia="Times New Roman" w:hAnsi="Calibri" w:cs="Calibri"/>
          <w:sz w:val="22"/>
          <w:szCs w:val="22"/>
          <w:lang w:eastAsia="en-US"/>
        </w:rPr>
        <w:t xml:space="preserve">daardoor </w:t>
      </w:r>
      <w:r w:rsidR="00BE1D69">
        <w:rPr>
          <w:rFonts w:ascii="Calibri" w:eastAsia="Times New Roman" w:hAnsi="Calibri" w:cs="Calibri"/>
          <w:sz w:val="22"/>
          <w:szCs w:val="22"/>
          <w:lang w:eastAsia="en-US"/>
        </w:rPr>
        <w:t>onder</w:t>
      </w:r>
      <w:r>
        <w:rPr>
          <w:rFonts w:ascii="Calibri" w:eastAsia="Times New Roman" w:hAnsi="Calibri" w:cs="Calibri"/>
          <w:sz w:val="22"/>
          <w:szCs w:val="22"/>
          <w:lang w:eastAsia="en-US"/>
        </w:rPr>
        <w:t xml:space="preserve"> de</w:t>
      </w:r>
      <w:r w:rsidR="00BE1D69">
        <w:rPr>
          <w:rFonts w:ascii="Calibri" w:eastAsia="Times New Roman" w:hAnsi="Calibri" w:cs="Calibri"/>
          <w:sz w:val="22"/>
          <w:szCs w:val="22"/>
          <w:lang w:eastAsia="en-US"/>
        </w:rPr>
        <w:t>ze</w:t>
      </w:r>
      <w:r>
        <w:rPr>
          <w:rFonts w:ascii="Calibri" w:eastAsia="Times New Roman" w:hAnsi="Calibri" w:cs="Calibri"/>
          <w:sz w:val="22"/>
          <w:szCs w:val="22"/>
          <w:lang w:eastAsia="en-US"/>
        </w:rPr>
        <w:t xml:space="preserve"> definitie</w:t>
      </w:r>
      <w:r w:rsidR="00BE1D69">
        <w:rPr>
          <w:rFonts w:ascii="Calibri" w:eastAsia="Times New Roman" w:hAnsi="Calibri" w:cs="Calibri"/>
          <w:sz w:val="22"/>
          <w:szCs w:val="22"/>
          <w:lang w:eastAsia="en-US"/>
        </w:rPr>
        <w:t xml:space="preserve">: </w:t>
      </w:r>
      <w:r>
        <w:rPr>
          <w:rFonts w:ascii="Calibri" w:eastAsia="Times New Roman" w:hAnsi="Calibri" w:cs="Calibri"/>
          <w:sz w:val="22"/>
          <w:szCs w:val="22"/>
          <w:lang w:eastAsia="en-US"/>
        </w:rPr>
        <w:t xml:space="preserve">maakbedrijven met een verkoopoppervlakte, de combinatie groot- en kleinhandel, andere mengvormen, afhaalpunten en winkels waar je kan kopen maar je de goederen laat leveren. </w:t>
      </w:r>
      <w:r w:rsidR="00BE1D69">
        <w:rPr>
          <w:rFonts w:ascii="Calibri" w:eastAsia="Times New Roman" w:hAnsi="Calibri" w:cs="Calibri"/>
          <w:sz w:val="22"/>
          <w:szCs w:val="22"/>
          <w:lang w:eastAsia="en-US"/>
        </w:rPr>
        <w:br/>
      </w:r>
      <w:r>
        <w:rPr>
          <w:rFonts w:ascii="Calibri" w:eastAsia="Times New Roman" w:hAnsi="Calibri" w:cs="Calibri"/>
          <w:sz w:val="22"/>
          <w:szCs w:val="22"/>
          <w:lang w:eastAsia="en-US"/>
        </w:rPr>
        <w:t xml:space="preserve">Vallen buiten de definitie: logistieke verdeelpunten en </w:t>
      </w:r>
      <w:r w:rsidR="00BE1D69">
        <w:rPr>
          <w:rFonts w:ascii="Calibri" w:eastAsia="Times New Roman" w:hAnsi="Calibri" w:cs="Calibri"/>
          <w:sz w:val="22"/>
          <w:szCs w:val="22"/>
          <w:lang w:eastAsia="en-US"/>
        </w:rPr>
        <w:t xml:space="preserve">zogenaamde </w:t>
      </w:r>
      <w:proofErr w:type="spellStart"/>
      <w:r w:rsidRPr="00BE1D69">
        <w:rPr>
          <w:rFonts w:ascii="Calibri" w:eastAsia="Times New Roman" w:hAnsi="Calibri" w:cs="Calibri"/>
          <w:i/>
          <w:iCs/>
          <w:sz w:val="22"/>
          <w:szCs w:val="22"/>
          <w:lang w:eastAsia="en-US"/>
        </w:rPr>
        <w:t>darkstores</w:t>
      </w:r>
      <w:proofErr w:type="spellEnd"/>
      <w:r>
        <w:rPr>
          <w:rFonts w:ascii="Calibri" w:eastAsia="Times New Roman" w:hAnsi="Calibri" w:cs="Calibri"/>
          <w:sz w:val="22"/>
          <w:szCs w:val="22"/>
          <w:lang w:eastAsia="en-US"/>
        </w:rPr>
        <w:t>.</w:t>
      </w:r>
    </w:p>
    <w:p w14:paraId="1800B43C" w14:textId="4F412039" w:rsidR="00D73E76" w:rsidRDefault="00D73E76" w:rsidP="00D73E76">
      <w:pPr>
        <w:pStyle w:val="Lijstalinea"/>
        <w:numPr>
          <w:ilvl w:val="0"/>
          <w:numId w:val="3"/>
        </w:numPr>
        <w:rPr>
          <w:rFonts w:ascii="Calibri" w:eastAsia="Times New Roman" w:hAnsi="Calibri" w:cs="Calibri"/>
          <w:sz w:val="22"/>
          <w:szCs w:val="22"/>
          <w:lang w:eastAsia="en-US"/>
        </w:rPr>
      </w:pPr>
      <w:r>
        <w:rPr>
          <w:rFonts w:ascii="Calibri" w:eastAsia="Times New Roman" w:hAnsi="Calibri" w:cs="Calibri"/>
          <w:b/>
          <w:bCs/>
          <w:sz w:val="22"/>
          <w:szCs w:val="22"/>
          <w:lang w:eastAsia="en-US"/>
        </w:rPr>
        <w:t>Handelsgeheel</w:t>
      </w:r>
      <w:r>
        <w:rPr>
          <w:rFonts w:ascii="Calibri" w:eastAsia="Times New Roman" w:hAnsi="Calibri" w:cs="Calibri"/>
          <w:sz w:val="22"/>
          <w:szCs w:val="22"/>
          <w:lang w:eastAsia="en-US"/>
        </w:rPr>
        <w:br/>
      </w:r>
      <w:r w:rsidR="00BE1D69">
        <w:rPr>
          <w:rFonts w:ascii="Calibri" w:eastAsia="Times New Roman" w:hAnsi="Calibri" w:cs="Calibri"/>
          <w:sz w:val="22"/>
          <w:szCs w:val="22"/>
          <w:lang w:eastAsia="en-US"/>
        </w:rPr>
        <w:t xml:space="preserve">De nieuwe </w:t>
      </w:r>
      <w:r>
        <w:rPr>
          <w:rFonts w:ascii="Calibri" w:eastAsia="Times New Roman" w:hAnsi="Calibri" w:cs="Calibri"/>
          <w:sz w:val="22"/>
          <w:szCs w:val="22"/>
          <w:lang w:eastAsia="en-US"/>
        </w:rPr>
        <w:t>definitie</w:t>
      </w:r>
      <w:r w:rsidR="00BE1D69">
        <w:rPr>
          <w:rFonts w:ascii="Calibri" w:eastAsia="Times New Roman" w:hAnsi="Calibri" w:cs="Calibri"/>
          <w:sz w:val="22"/>
          <w:szCs w:val="22"/>
          <w:lang w:eastAsia="en-US"/>
        </w:rPr>
        <w:t xml:space="preserve"> zou als volgt luiden: </w:t>
      </w:r>
      <w:r>
        <w:rPr>
          <w:rFonts w:ascii="Calibri" w:eastAsia="Times New Roman" w:hAnsi="Calibri" w:cs="Calibri"/>
          <w:sz w:val="22"/>
          <w:szCs w:val="22"/>
          <w:lang w:eastAsia="en-US"/>
        </w:rPr>
        <w:t>‘</w:t>
      </w:r>
      <w:r>
        <w:rPr>
          <w:rFonts w:ascii="Calibri" w:eastAsia="Times New Roman" w:hAnsi="Calibri" w:cs="Calibri"/>
          <w:i/>
          <w:iCs/>
          <w:sz w:val="22"/>
          <w:szCs w:val="22"/>
          <w:lang w:eastAsia="en-US"/>
        </w:rPr>
        <w:t>een geheel van kleinhandelsbedrijven binnen eenzelfde gebouw of in aaneengesloten bebouwing dat als een globaal bouwproject werd vergund, ongeacht of:</w:t>
      </w:r>
      <w:r>
        <w:rPr>
          <w:rFonts w:ascii="Calibri" w:eastAsia="Times New Roman" w:hAnsi="Calibri" w:cs="Calibri"/>
          <w:i/>
          <w:iCs/>
          <w:sz w:val="22"/>
          <w:szCs w:val="22"/>
          <w:lang w:eastAsia="en-US"/>
        </w:rPr>
        <w:br/>
        <w:t>a) de kleinhandelsbedrijven zich op één perceel of op elkaar aansluitende percelen bevinden;</w:t>
      </w:r>
      <w:r>
        <w:rPr>
          <w:rFonts w:ascii="Calibri" w:eastAsia="Times New Roman" w:hAnsi="Calibri" w:cs="Calibri"/>
          <w:i/>
          <w:iCs/>
          <w:sz w:val="22"/>
          <w:szCs w:val="22"/>
          <w:lang w:eastAsia="en-US"/>
        </w:rPr>
        <w:br/>
        <w:t>b) dezelfde persoon de ontwikkelaar, eigenaar of uitbater van de kleinhandelsbedrijven is.</w:t>
      </w:r>
      <w:r>
        <w:rPr>
          <w:rFonts w:ascii="Calibri" w:eastAsia="Times New Roman" w:hAnsi="Calibri" w:cs="Calibri"/>
          <w:sz w:val="22"/>
          <w:szCs w:val="22"/>
          <w:lang w:eastAsia="en-US"/>
        </w:rPr>
        <w:t>’</w:t>
      </w:r>
      <w:r>
        <w:rPr>
          <w:rFonts w:ascii="Calibri" w:eastAsia="Times New Roman" w:hAnsi="Calibri" w:cs="Calibri"/>
          <w:sz w:val="22"/>
          <w:szCs w:val="22"/>
          <w:lang w:eastAsia="en-US"/>
        </w:rPr>
        <w:br/>
        <w:t>Deze nieuwe definitie zal dus van toepassing zijn op minder situaties. Zie ook de memorie van toelichting (p. 8).</w:t>
      </w:r>
    </w:p>
    <w:p w14:paraId="4F362CE0" w14:textId="77777777" w:rsidR="009312AE" w:rsidRDefault="009312AE" w:rsidP="00D73E76">
      <w:pPr>
        <w:rPr>
          <w:b/>
          <w:bCs/>
        </w:rPr>
      </w:pPr>
    </w:p>
    <w:p w14:paraId="53AA305C" w14:textId="107E0FF0" w:rsidR="00D73E76" w:rsidRDefault="00D73E76" w:rsidP="00D73E76">
      <w:r>
        <w:rPr>
          <w:b/>
          <w:bCs/>
        </w:rPr>
        <w:t xml:space="preserve">2. Opdeling van de categorieën van kleinhandel </w:t>
      </w:r>
      <w:r>
        <w:t>(art. 4 wijzigt art. 3)</w:t>
      </w:r>
      <w:r>
        <w:rPr>
          <w:b/>
          <w:bCs/>
        </w:rPr>
        <w:br/>
      </w:r>
      <w:r>
        <w:t xml:space="preserve">De huidige categorie 4 (andere producten) zal in de toekomst als volgt </w:t>
      </w:r>
      <w:r>
        <w:rPr>
          <w:b/>
          <w:bCs/>
        </w:rPr>
        <w:t>opgedeeld</w:t>
      </w:r>
      <w:r>
        <w:t xml:space="preserve"> worden:</w:t>
      </w:r>
    </w:p>
    <w:p w14:paraId="430E1B0E" w14:textId="77777777" w:rsidR="00D73E76" w:rsidRDefault="00D73E76" w:rsidP="00D73E76">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vervoers- en transportmiddelen (categorie 4)</w:t>
      </w:r>
    </w:p>
    <w:p w14:paraId="0F30B591" w14:textId="77777777" w:rsidR="00D73E76" w:rsidRDefault="00D73E76" w:rsidP="00D73E76">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andere volumineuze goederen (categorie 5)</w:t>
      </w:r>
    </w:p>
    <w:p w14:paraId="5AB2281B" w14:textId="77777777" w:rsidR="00D73E76" w:rsidRDefault="00D73E76" w:rsidP="00D73E76">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andere niet-volumineuze goederen (categorie 6)</w:t>
      </w:r>
    </w:p>
    <w:p w14:paraId="6C79C52D" w14:textId="77777777" w:rsidR="009312AE" w:rsidRDefault="009312AE" w:rsidP="009312AE"/>
    <w:p w14:paraId="4B9E2C60" w14:textId="6492BD6C" w:rsidR="00D73E76" w:rsidRDefault="00D73E76" w:rsidP="009312AE">
      <w:pPr>
        <w:rPr>
          <w:rFonts w:ascii="Calibri" w:eastAsia="Times New Roman" w:hAnsi="Calibri" w:cs="Calibri"/>
        </w:rPr>
      </w:pPr>
      <w:r>
        <w:lastRenderedPageBreak/>
        <w:t xml:space="preserve">In de </w:t>
      </w:r>
      <w:r w:rsidR="009312AE">
        <w:t xml:space="preserve">memorie van toelichting wordt </w:t>
      </w:r>
      <w:r>
        <w:t>verduidelijkt wat onder ‘</w:t>
      </w:r>
      <w:r>
        <w:rPr>
          <w:b/>
          <w:bCs/>
        </w:rPr>
        <w:t>volumineus</w:t>
      </w:r>
      <w:r>
        <w:t xml:space="preserve">’ verstaan </w:t>
      </w:r>
      <w:r w:rsidR="009312AE">
        <w:t>moet worden (p. 10)</w:t>
      </w:r>
      <w:r>
        <w:t>:</w:t>
      </w:r>
      <w:r w:rsidR="009312AE">
        <w:t xml:space="preserve"> </w:t>
      </w:r>
      <w:r>
        <w:rPr>
          <w:rFonts w:ascii="Calibri" w:eastAsia="Times New Roman" w:hAnsi="Calibri" w:cs="Calibri"/>
        </w:rPr>
        <w:t xml:space="preserve">Een goed wordt als volumineus beschouwd … </w:t>
      </w:r>
      <w:r>
        <w:rPr>
          <w:rFonts w:ascii="Calibri" w:eastAsia="Times New Roman" w:hAnsi="Calibri" w:cs="Calibri"/>
          <w:i/>
          <w:iCs/>
        </w:rPr>
        <w:t>als de handelaar veel ruimte nodig heeft om het tentoon te stellen in de winkel. Als de som van de hoogte, de breedte en de diepte 2,5m of meer bedraagt, gaan we ervan uit dat het goed volumineus is, hoewel we dit beschouwen als een richtsnoer dat niet formeel in het decreet wordt opgenomen.</w:t>
      </w:r>
      <w:r>
        <w:rPr>
          <w:rFonts w:ascii="Calibri" w:eastAsia="Times New Roman" w:hAnsi="Calibri" w:cs="Calibri"/>
        </w:rPr>
        <w:t xml:space="preserve"> […]</w:t>
      </w:r>
      <w:r>
        <w:rPr>
          <w:rFonts w:ascii="Calibri" w:eastAsia="Times New Roman" w:hAnsi="Calibri" w:cs="Calibri"/>
          <w:i/>
          <w:iCs/>
        </w:rPr>
        <w:t xml:space="preserve">De wijze waarop de goederen kunnen meegenomen of geleverd worden, speelt bijvoorbeeld ook een belangrijke rol. </w:t>
      </w:r>
    </w:p>
    <w:p w14:paraId="266B2E30" w14:textId="119AE20A" w:rsidR="00D73E76" w:rsidRDefault="009312AE" w:rsidP="009312AE">
      <w:pPr>
        <w:rPr>
          <w:rFonts w:ascii="Calibri" w:eastAsia="Times New Roman" w:hAnsi="Calibri" w:cs="Calibri"/>
        </w:rPr>
      </w:pPr>
      <w:r>
        <w:rPr>
          <w:rFonts w:ascii="Calibri" w:eastAsia="Times New Roman" w:hAnsi="Calibri" w:cs="Calibri"/>
        </w:rPr>
        <w:t>Enkele v</w:t>
      </w:r>
      <w:r w:rsidR="00D73E76" w:rsidRPr="009312AE">
        <w:rPr>
          <w:rFonts w:ascii="Calibri" w:eastAsia="Times New Roman" w:hAnsi="Calibri" w:cs="Calibri"/>
        </w:rPr>
        <w:t>oorbeelden: (middel)grote meubels en elektrotoestellen (</w:t>
      </w:r>
      <w:proofErr w:type="spellStart"/>
      <w:r w:rsidR="00D73E76" w:rsidRPr="009312AE">
        <w:rPr>
          <w:rFonts w:ascii="Calibri" w:eastAsia="Times New Roman" w:hAnsi="Calibri" w:cs="Calibri"/>
        </w:rPr>
        <w:t>TV,s</w:t>
      </w:r>
      <w:proofErr w:type="spellEnd"/>
      <w:r w:rsidR="00D73E76" w:rsidRPr="009312AE">
        <w:rPr>
          <w:rFonts w:ascii="Calibri" w:eastAsia="Times New Roman" w:hAnsi="Calibri" w:cs="Calibri"/>
        </w:rPr>
        <w:t>, koelkasten,..)</w:t>
      </w:r>
      <w:r>
        <w:rPr>
          <w:rFonts w:ascii="Calibri" w:eastAsia="Times New Roman" w:hAnsi="Calibri" w:cs="Calibri"/>
        </w:rPr>
        <w:t>; r</w:t>
      </w:r>
      <w:r w:rsidR="00D73E76">
        <w:rPr>
          <w:rFonts w:ascii="Calibri" w:eastAsia="Times New Roman" w:hAnsi="Calibri" w:cs="Calibri"/>
        </w:rPr>
        <w:t>amen en deuren</w:t>
      </w:r>
      <w:r>
        <w:rPr>
          <w:rFonts w:ascii="Calibri" w:eastAsia="Times New Roman" w:hAnsi="Calibri" w:cs="Calibri"/>
        </w:rPr>
        <w:t>;</w:t>
      </w:r>
      <w:r w:rsidR="00685A48">
        <w:rPr>
          <w:rFonts w:ascii="Calibri" w:eastAsia="Times New Roman" w:hAnsi="Calibri" w:cs="Calibri"/>
        </w:rPr>
        <w:t xml:space="preserve"> </w:t>
      </w:r>
      <w:r w:rsidR="00D73E76">
        <w:rPr>
          <w:rFonts w:ascii="Calibri" w:eastAsia="Times New Roman" w:hAnsi="Calibri" w:cs="Calibri"/>
        </w:rPr>
        <w:t>grote bouwmaterialen</w:t>
      </w:r>
      <w:r>
        <w:rPr>
          <w:rFonts w:ascii="Calibri" w:eastAsia="Times New Roman" w:hAnsi="Calibri" w:cs="Calibri"/>
        </w:rPr>
        <w:t xml:space="preserve">; </w:t>
      </w:r>
      <w:r w:rsidR="00685A48">
        <w:rPr>
          <w:rFonts w:ascii="Calibri" w:eastAsia="Times New Roman" w:hAnsi="Calibri" w:cs="Calibri"/>
        </w:rPr>
        <w:t xml:space="preserve">kleinere </w:t>
      </w:r>
      <w:r w:rsidR="00D73E76">
        <w:rPr>
          <w:rFonts w:ascii="Calibri" w:eastAsia="Times New Roman" w:hAnsi="Calibri" w:cs="Calibri"/>
        </w:rPr>
        <w:t xml:space="preserve">goederen </w:t>
      </w:r>
      <w:r w:rsidR="00685A48">
        <w:rPr>
          <w:rFonts w:ascii="Calibri" w:eastAsia="Times New Roman" w:hAnsi="Calibri" w:cs="Calibri"/>
        </w:rPr>
        <w:t xml:space="preserve">die </w:t>
      </w:r>
      <w:r w:rsidR="00D73E76">
        <w:rPr>
          <w:rFonts w:ascii="Calibri" w:eastAsia="Times New Roman" w:hAnsi="Calibri" w:cs="Calibri"/>
        </w:rPr>
        <w:t>als één geheel worden verkocht (bv. pallet klinkers)</w:t>
      </w:r>
      <w:r>
        <w:rPr>
          <w:rFonts w:ascii="Calibri" w:eastAsia="Times New Roman" w:hAnsi="Calibri" w:cs="Calibri"/>
        </w:rPr>
        <w:t xml:space="preserve">. </w:t>
      </w:r>
      <w:r w:rsidR="00C24DAB">
        <w:rPr>
          <w:rFonts w:ascii="Calibri" w:eastAsia="Times New Roman" w:hAnsi="Calibri" w:cs="Calibri"/>
        </w:rPr>
        <w:t xml:space="preserve">Let op: volumineuze goederen die onder een andere kleinhandelscategorie vallen (bv. goederen voor land- en tuinbouw of auto’s) blijven </w:t>
      </w:r>
      <w:r w:rsidR="00D73E76">
        <w:rPr>
          <w:rFonts w:ascii="Calibri" w:eastAsia="Times New Roman" w:hAnsi="Calibri" w:cs="Calibri"/>
        </w:rPr>
        <w:t xml:space="preserve">gecategoriseerd onder de eigen categorie. </w:t>
      </w:r>
      <w:r>
        <w:rPr>
          <w:rFonts w:ascii="Calibri" w:eastAsia="Times New Roman" w:hAnsi="Calibri" w:cs="Calibri"/>
        </w:rPr>
        <w:t xml:space="preserve"> </w:t>
      </w:r>
    </w:p>
    <w:p w14:paraId="45724E3C" w14:textId="775AA993" w:rsidR="00D73E76" w:rsidRDefault="00D73E76" w:rsidP="009312AE">
      <w:pPr>
        <w:rPr>
          <w:rFonts w:ascii="Calibri" w:eastAsia="Times New Roman" w:hAnsi="Calibri" w:cs="Calibri"/>
        </w:rPr>
      </w:pPr>
      <w:r>
        <w:t xml:space="preserve">In de </w:t>
      </w:r>
      <w:r w:rsidR="009312AE">
        <w:t xml:space="preserve">memorie </w:t>
      </w:r>
      <w:r w:rsidR="00C24DAB">
        <w:t xml:space="preserve">vind je naast </w:t>
      </w:r>
      <w:r>
        <w:t xml:space="preserve">verschillende voorbeelden van </w:t>
      </w:r>
      <w:r w:rsidRPr="009312AE">
        <w:rPr>
          <w:b/>
          <w:bCs/>
        </w:rPr>
        <w:t>indeling</w:t>
      </w:r>
      <w:r>
        <w:t xml:space="preserve"> over de verschillende categorieën </w:t>
      </w:r>
      <w:r w:rsidR="009312AE">
        <w:t xml:space="preserve">(p. 12), </w:t>
      </w:r>
      <w:r w:rsidR="00C24DAB">
        <w:t xml:space="preserve">ook </w:t>
      </w:r>
      <w:r w:rsidR="009312AE">
        <w:t xml:space="preserve">suggesties voor een </w:t>
      </w:r>
      <w:r w:rsidRPr="009312AE">
        <w:t>pragmatische aanpak</w:t>
      </w:r>
      <w:r w:rsidR="00F31E65">
        <w:t xml:space="preserve"> die het </w:t>
      </w:r>
      <w:r w:rsidR="009312AE">
        <w:t xml:space="preserve">mogelijk </w:t>
      </w:r>
      <w:r w:rsidR="00C24DAB">
        <w:t xml:space="preserve">moeten </w:t>
      </w:r>
      <w:r w:rsidR="009312AE">
        <w:t xml:space="preserve">maken om </w:t>
      </w:r>
      <w:r>
        <w:rPr>
          <w:rFonts w:ascii="Calibri" w:eastAsia="Times New Roman" w:hAnsi="Calibri" w:cs="Calibri"/>
        </w:rPr>
        <w:t>relatief goed aan</w:t>
      </w:r>
      <w:r w:rsidR="009312AE">
        <w:rPr>
          <w:rFonts w:ascii="Calibri" w:eastAsia="Times New Roman" w:hAnsi="Calibri" w:cs="Calibri"/>
        </w:rPr>
        <w:t xml:space="preserve"> te g</w:t>
      </w:r>
      <w:r>
        <w:rPr>
          <w:rFonts w:ascii="Calibri" w:eastAsia="Times New Roman" w:hAnsi="Calibri" w:cs="Calibri"/>
        </w:rPr>
        <w:t xml:space="preserve">even welke types winkel op een bepaalde locatie ingepast kunnen worden en welke er niet op hun plaats zijn. </w:t>
      </w:r>
    </w:p>
    <w:p w14:paraId="1EA80D16" w14:textId="0EC0EEE9" w:rsidR="00D73E76" w:rsidRPr="004D49C7" w:rsidRDefault="00C24DAB" w:rsidP="00D73E76">
      <w:pPr>
        <w:rPr>
          <w:rFonts w:ascii="Calibri" w:eastAsia="Times New Roman" w:hAnsi="Calibri" w:cs="Calibri"/>
        </w:rPr>
      </w:pPr>
      <w:r>
        <w:t xml:space="preserve">Merk op dat enkel </w:t>
      </w:r>
      <w:r w:rsidR="00D73E76">
        <w:rPr>
          <w:rFonts w:ascii="Calibri" w:eastAsia="Times New Roman" w:hAnsi="Calibri" w:cs="Calibri"/>
        </w:rPr>
        <w:t xml:space="preserve">bij </w:t>
      </w:r>
      <w:proofErr w:type="spellStart"/>
      <w:r w:rsidR="00D73E76">
        <w:rPr>
          <w:rFonts w:ascii="Calibri" w:eastAsia="Times New Roman" w:hAnsi="Calibri" w:cs="Calibri"/>
        </w:rPr>
        <w:t>vergunningsplichtige</w:t>
      </w:r>
      <w:proofErr w:type="spellEnd"/>
      <w:r w:rsidR="00D73E76">
        <w:rPr>
          <w:rFonts w:ascii="Calibri" w:eastAsia="Times New Roman" w:hAnsi="Calibri" w:cs="Calibri"/>
        </w:rPr>
        <w:t xml:space="preserve"> wijzigingen een nieuwe vergunning nodig </w:t>
      </w:r>
      <w:r>
        <w:rPr>
          <w:rFonts w:ascii="Calibri" w:eastAsia="Times New Roman" w:hAnsi="Calibri" w:cs="Calibri"/>
        </w:rPr>
        <w:t xml:space="preserve">zal </w:t>
      </w:r>
      <w:r w:rsidR="00D73E76">
        <w:rPr>
          <w:rFonts w:ascii="Calibri" w:eastAsia="Times New Roman" w:hAnsi="Calibri" w:cs="Calibri"/>
        </w:rPr>
        <w:t>zijn</w:t>
      </w:r>
      <w:r>
        <w:rPr>
          <w:rFonts w:ascii="Calibri" w:eastAsia="Times New Roman" w:hAnsi="Calibri" w:cs="Calibri"/>
        </w:rPr>
        <w:t>.</w:t>
      </w:r>
    </w:p>
    <w:p w14:paraId="6F1767C4" w14:textId="19785C54" w:rsidR="00D73E76" w:rsidRDefault="009312AE" w:rsidP="00D73E76">
      <w:pPr>
        <w:rPr>
          <w:b/>
          <w:bCs/>
        </w:rPr>
      </w:pPr>
      <w:r>
        <w:rPr>
          <w:b/>
          <w:bCs/>
        </w:rPr>
        <w:t>3</w:t>
      </w:r>
      <w:r w:rsidR="00D73E76">
        <w:rPr>
          <w:b/>
          <w:bCs/>
        </w:rPr>
        <w:t xml:space="preserve">. Toepassingsgebied van de vergunningsplicht </w:t>
      </w:r>
      <w:r w:rsidR="00D73E76">
        <w:t>(art. 6 wijzigt art. 11)</w:t>
      </w:r>
    </w:p>
    <w:p w14:paraId="23B085F7" w14:textId="5A2DA1FD" w:rsidR="00D73E76" w:rsidRDefault="00D73E76" w:rsidP="00685A48">
      <w:pPr>
        <w:rPr>
          <w:rFonts w:ascii="Calibri" w:eastAsia="Times New Roman" w:hAnsi="Calibri" w:cs="Calibri"/>
        </w:rPr>
      </w:pPr>
      <w:r>
        <w:t>Het toepassingsgebied</w:t>
      </w:r>
      <w:r w:rsidR="00685A48">
        <w:t xml:space="preserve"> wordt enerzijds uitgebreid doordat het </w:t>
      </w:r>
      <w:r>
        <w:rPr>
          <w:rFonts w:ascii="Calibri" w:eastAsia="Times New Roman" w:hAnsi="Calibri" w:cs="Calibri"/>
        </w:rPr>
        <w:t xml:space="preserve">splitsen van handelszaken van &gt; 400m² naar kleinere eenheden </w:t>
      </w:r>
      <w:proofErr w:type="spellStart"/>
      <w:r>
        <w:rPr>
          <w:rFonts w:ascii="Calibri" w:eastAsia="Times New Roman" w:hAnsi="Calibri" w:cs="Calibri"/>
        </w:rPr>
        <w:t>vergunningsplichtig</w:t>
      </w:r>
      <w:proofErr w:type="spellEnd"/>
      <w:r w:rsidR="00685A48">
        <w:rPr>
          <w:rFonts w:ascii="Calibri" w:eastAsia="Times New Roman" w:hAnsi="Calibri" w:cs="Calibri"/>
        </w:rPr>
        <w:t xml:space="preserve"> wordt</w:t>
      </w:r>
      <w:r>
        <w:rPr>
          <w:rFonts w:ascii="Calibri" w:eastAsia="Times New Roman" w:hAnsi="Calibri" w:cs="Calibri"/>
        </w:rPr>
        <w:t>. (Het samenvoegen van kleinere units naar &gt; 400m² was dat al.)</w:t>
      </w:r>
      <w:r>
        <w:rPr>
          <w:rFonts w:ascii="Calibri" w:eastAsia="Times New Roman" w:hAnsi="Calibri" w:cs="Calibri"/>
        </w:rPr>
        <w:br/>
      </w:r>
      <w:r w:rsidR="00685A48">
        <w:rPr>
          <w:rFonts w:ascii="Calibri" w:eastAsia="Times New Roman" w:hAnsi="Calibri" w:cs="Calibri"/>
        </w:rPr>
        <w:t>Anderzijds is er ook sprake van een i</w:t>
      </w:r>
      <w:r>
        <w:rPr>
          <w:rFonts w:ascii="Calibri" w:eastAsia="Times New Roman" w:hAnsi="Calibri" w:cs="Calibri"/>
        </w:rPr>
        <w:t>nperking</w:t>
      </w:r>
      <w:r w:rsidR="00685A48">
        <w:rPr>
          <w:rFonts w:ascii="Calibri" w:eastAsia="Times New Roman" w:hAnsi="Calibri" w:cs="Calibri"/>
        </w:rPr>
        <w:t xml:space="preserve"> van het toepassingsgebied, omwille van een risico op een </w:t>
      </w:r>
      <w:r>
        <w:rPr>
          <w:rFonts w:ascii="Calibri" w:eastAsia="Times New Roman" w:hAnsi="Calibri" w:cs="Calibri"/>
        </w:rPr>
        <w:t>‘dubbele vergunningsplicht’:</w:t>
      </w:r>
    </w:p>
    <w:p w14:paraId="461027C0" w14:textId="5E867F2F" w:rsidR="00D73E76" w:rsidRDefault="00D73E76" w:rsidP="00685A48">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 xml:space="preserve">Apotheken </w:t>
      </w:r>
      <w:r w:rsidR="00685A48">
        <w:rPr>
          <w:rFonts w:ascii="Calibri" w:eastAsia="Times New Roman" w:hAnsi="Calibri" w:cs="Calibri"/>
          <w:sz w:val="22"/>
          <w:szCs w:val="22"/>
        </w:rPr>
        <w:t xml:space="preserve">(het decreet </w:t>
      </w:r>
      <w:r>
        <w:rPr>
          <w:rFonts w:ascii="Calibri" w:eastAsia="Times New Roman" w:hAnsi="Calibri" w:cs="Calibri"/>
          <w:sz w:val="22"/>
          <w:szCs w:val="22"/>
        </w:rPr>
        <w:t>IHB blijft wel gelden voor de parafarmacie</w:t>
      </w:r>
      <w:r w:rsidR="00685A48">
        <w:rPr>
          <w:rFonts w:ascii="Calibri" w:eastAsia="Times New Roman" w:hAnsi="Calibri" w:cs="Calibri"/>
          <w:sz w:val="22"/>
          <w:szCs w:val="22"/>
        </w:rPr>
        <w:t>)</w:t>
      </w:r>
    </w:p>
    <w:p w14:paraId="74D1D47A" w14:textId="09F86DD6" w:rsidR="00D73E76" w:rsidRDefault="00D73E76" w:rsidP="00685A48">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Tankstations en elektrische laadstations</w:t>
      </w:r>
      <w:r w:rsidR="00685A48">
        <w:rPr>
          <w:rFonts w:ascii="Calibri" w:eastAsia="Times New Roman" w:hAnsi="Calibri" w:cs="Calibri"/>
          <w:sz w:val="22"/>
          <w:szCs w:val="22"/>
        </w:rPr>
        <w:t xml:space="preserve"> (het decreet IHB </w:t>
      </w:r>
      <w:r>
        <w:rPr>
          <w:rFonts w:ascii="Calibri" w:eastAsia="Times New Roman" w:hAnsi="Calibri" w:cs="Calibri"/>
          <w:sz w:val="22"/>
          <w:szCs w:val="22"/>
        </w:rPr>
        <w:t>blijft wel gelden voor winkels &gt; 400m² bij een tankstation</w:t>
      </w:r>
      <w:r w:rsidR="00685A48">
        <w:rPr>
          <w:rFonts w:ascii="Calibri" w:eastAsia="Times New Roman" w:hAnsi="Calibri" w:cs="Calibri"/>
          <w:sz w:val="22"/>
          <w:szCs w:val="22"/>
        </w:rPr>
        <w:t>)</w:t>
      </w:r>
    </w:p>
    <w:p w14:paraId="36EE9C90" w14:textId="48563544" w:rsidR="00193D9E" w:rsidRDefault="00D73E76" w:rsidP="00193D9E">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Veilinghuizen</w:t>
      </w:r>
      <w:r w:rsidR="00685A48">
        <w:rPr>
          <w:rFonts w:ascii="Calibri" w:eastAsia="Times New Roman" w:hAnsi="Calibri" w:cs="Calibri"/>
          <w:sz w:val="22"/>
          <w:szCs w:val="22"/>
        </w:rPr>
        <w:t xml:space="preserve"> </w:t>
      </w:r>
    </w:p>
    <w:p w14:paraId="5BF7AC35" w14:textId="77777777" w:rsidR="00193D9E" w:rsidRPr="00193D9E" w:rsidRDefault="00193D9E" w:rsidP="00193D9E">
      <w:pPr>
        <w:rPr>
          <w:rFonts w:ascii="Calibri" w:eastAsia="Times New Roman" w:hAnsi="Calibri" w:cs="Calibri"/>
        </w:rPr>
      </w:pPr>
    </w:p>
    <w:p w14:paraId="0968BD7E" w14:textId="77777777" w:rsidR="00B33065" w:rsidRPr="00AA655B" w:rsidRDefault="00B33065" w:rsidP="00D73E76">
      <w:pPr>
        <w:rPr>
          <w:rFonts w:cstheme="minorHAnsi"/>
          <w:b/>
          <w:bCs/>
        </w:rPr>
      </w:pPr>
      <w:r w:rsidRPr="00AA655B">
        <w:rPr>
          <w:rFonts w:cstheme="minorHAnsi"/>
          <w:b/>
          <w:bCs/>
        </w:rPr>
        <w:t>4</w:t>
      </w:r>
      <w:r w:rsidR="00D73E76" w:rsidRPr="00AA655B">
        <w:rPr>
          <w:rFonts w:cstheme="minorHAnsi"/>
          <w:b/>
          <w:bCs/>
        </w:rPr>
        <w:t xml:space="preserve">. </w:t>
      </w:r>
      <w:r w:rsidRPr="00AA655B">
        <w:rPr>
          <w:rFonts w:cstheme="minorHAnsi"/>
          <w:b/>
          <w:bCs/>
        </w:rPr>
        <w:t>Overige wijzigingen</w:t>
      </w:r>
    </w:p>
    <w:p w14:paraId="47528736" w14:textId="77777777" w:rsidR="00B33065" w:rsidRPr="00AA655B" w:rsidRDefault="00D73E76" w:rsidP="00D73E76">
      <w:pPr>
        <w:pStyle w:val="Lijstalinea"/>
        <w:numPr>
          <w:ilvl w:val="0"/>
          <w:numId w:val="6"/>
        </w:numPr>
        <w:rPr>
          <w:rFonts w:asciiTheme="minorHAnsi" w:hAnsiTheme="minorHAnsi" w:cstheme="minorHAnsi"/>
          <w:sz w:val="22"/>
          <w:szCs w:val="22"/>
        </w:rPr>
      </w:pPr>
      <w:r w:rsidRPr="00AA655B">
        <w:rPr>
          <w:rFonts w:asciiTheme="minorHAnsi" w:hAnsiTheme="minorHAnsi" w:cstheme="minorHAnsi"/>
          <w:b/>
          <w:bCs/>
          <w:sz w:val="22"/>
          <w:szCs w:val="22"/>
        </w:rPr>
        <w:t xml:space="preserve">Handhaving </w:t>
      </w:r>
      <w:r w:rsidRPr="00AA655B">
        <w:rPr>
          <w:rFonts w:asciiTheme="minorHAnsi" w:hAnsiTheme="minorHAnsi" w:cstheme="minorHAnsi"/>
          <w:sz w:val="22"/>
          <w:szCs w:val="22"/>
        </w:rPr>
        <w:t>(art. 7 wijzigt art. 15)</w:t>
      </w:r>
      <w:r w:rsidR="00B33065" w:rsidRPr="00AA655B">
        <w:rPr>
          <w:rFonts w:asciiTheme="minorHAnsi" w:hAnsiTheme="minorHAnsi" w:cstheme="minorHAnsi"/>
          <w:sz w:val="22"/>
          <w:szCs w:val="22"/>
        </w:rPr>
        <w:br/>
      </w:r>
      <w:r w:rsidR="00685A48" w:rsidRPr="00AA655B">
        <w:rPr>
          <w:rFonts w:asciiTheme="minorHAnsi" w:eastAsia="Times New Roman" w:hAnsiTheme="minorHAnsi" w:cstheme="minorHAnsi"/>
          <w:sz w:val="22"/>
          <w:szCs w:val="22"/>
        </w:rPr>
        <w:t xml:space="preserve">De handhaving van het decreet zal </w:t>
      </w:r>
      <w:r w:rsidRPr="00AA655B">
        <w:rPr>
          <w:rFonts w:asciiTheme="minorHAnsi" w:eastAsia="Times New Roman" w:hAnsiTheme="minorHAnsi" w:cstheme="minorHAnsi"/>
          <w:sz w:val="22"/>
          <w:szCs w:val="22"/>
        </w:rPr>
        <w:t>voortaan ook door gemeentepersoneel of via een intercommunale kunnen gebeuren, na aanwijzing door het College van Burgemeester en Schepenen.</w:t>
      </w:r>
      <w:r w:rsidRPr="00AA655B">
        <w:rPr>
          <w:rFonts w:asciiTheme="minorHAnsi" w:eastAsia="Times New Roman" w:hAnsiTheme="minorHAnsi" w:cstheme="minorHAnsi"/>
          <w:sz w:val="22"/>
          <w:szCs w:val="22"/>
        </w:rPr>
        <w:br/>
        <w:t xml:space="preserve">Het aanwijzen van iemand van de politiezone blijft ook een mogelijkheid. </w:t>
      </w:r>
      <w:r w:rsidR="00685A48" w:rsidRPr="00AA655B">
        <w:rPr>
          <w:rFonts w:asciiTheme="minorHAnsi" w:eastAsia="Times New Roman" w:hAnsiTheme="minorHAnsi" w:cstheme="minorHAnsi"/>
          <w:sz w:val="22"/>
          <w:szCs w:val="22"/>
        </w:rPr>
        <w:t xml:space="preserve"> </w:t>
      </w:r>
      <w:r w:rsidR="00B33065" w:rsidRPr="00AA655B">
        <w:rPr>
          <w:rFonts w:asciiTheme="minorHAnsi" w:eastAsia="Times New Roman" w:hAnsiTheme="minorHAnsi" w:cstheme="minorHAnsi"/>
          <w:sz w:val="22"/>
          <w:szCs w:val="22"/>
        </w:rPr>
        <w:br/>
      </w:r>
      <w:r w:rsidR="00685A48" w:rsidRPr="00AA655B">
        <w:rPr>
          <w:rFonts w:asciiTheme="minorHAnsi" w:eastAsia="Times New Roman" w:hAnsiTheme="minorHAnsi" w:cstheme="minorHAnsi"/>
          <w:sz w:val="22"/>
          <w:szCs w:val="22"/>
        </w:rPr>
        <w:t xml:space="preserve">Daarnaast worden de handhavingsbepalingen gestroomlijnd met </w:t>
      </w:r>
      <w:r w:rsidRPr="00AA655B">
        <w:rPr>
          <w:rFonts w:asciiTheme="minorHAnsi" w:eastAsia="Times New Roman" w:hAnsiTheme="minorHAnsi" w:cstheme="minorHAnsi"/>
          <w:sz w:val="22"/>
          <w:szCs w:val="22"/>
        </w:rPr>
        <w:t>de bepalingen inzake milieuhandhaving.</w:t>
      </w:r>
    </w:p>
    <w:p w14:paraId="19E4B9C7" w14:textId="1B9D7126" w:rsidR="00685A48" w:rsidRPr="00AA655B" w:rsidRDefault="00685A48" w:rsidP="00685A48">
      <w:pPr>
        <w:pStyle w:val="Lijstalinea"/>
        <w:numPr>
          <w:ilvl w:val="0"/>
          <w:numId w:val="6"/>
        </w:numPr>
        <w:rPr>
          <w:rFonts w:asciiTheme="minorHAnsi" w:hAnsiTheme="minorHAnsi" w:cstheme="minorHAnsi"/>
          <w:sz w:val="22"/>
          <w:szCs w:val="22"/>
        </w:rPr>
      </w:pPr>
      <w:r w:rsidRPr="00AA655B">
        <w:rPr>
          <w:rFonts w:asciiTheme="minorHAnsi" w:hAnsiTheme="minorHAnsi" w:cstheme="minorHAnsi"/>
          <w:b/>
          <w:bCs/>
          <w:sz w:val="22"/>
          <w:szCs w:val="22"/>
        </w:rPr>
        <w:t>W</w:t>
      </w:r>
      <w:r w:rsidR="00D73E76" w:rsidRPr="00AA655B">
        <w:rPr>
          <w:rFonts w:asciiTheme="minorHAnsi" w:hAnsiTheme="minorHAnsi" w:cstheme="minorHAnsi"/>
          <w:b/>
          <w:bCs/>
          <w:sz w:val="22"/>
          <w:szCs w:val="22"/>
        </w:rPr>
        <w:t>ijzigingen op het vlak van Omgeving</w:t>
      </w:r>
      <w:r w:rsidR="00B33065" w:rsidRPr="00AA655B">
        <w:rPr>
          <w:rFonts w:asciiTheme="minorHAnsi" w:hAnsiTheme="minorHAnsi" w:cstheme="minorHAnsi"/>
          <w:b/>
          <w:bCs/>
          <w:sz w:val="22"/>
          <w:szCs w:val="22"/>
        </w:rPr>
        <w:br/>
      </w:r>
      <w:r w:rsidRPr="00AA655B">
        <w:rPr>
          <w:rFonts w:asciiTheme="minorHAnsi" w:eastAsia="Times New Roman" w:hAnsiTheme="minorHAnsi" w:cstheme="minorHAnsi"/>
          <w:sz w:val="22"/>
          <w:szCs w:val="22"/>
        </w:rPr>
        <w:t>Niet enkel het decreet IHB zal wijzigen, ook volgende bepalingen worden aangepast:</w:t>
      </w:r>
    </w:p>
    <w:p w14:paraId="267C72E2" w14:textId="68F6C17C" w:rsidR="00D73E76" w:rsidRPr="00AA655B" w:rsidRDefault="00B33065" w:rsidP="00B33065">
      <w:pPr>
        <w:pStyle w:val="Lijstalinea"/>
        <w:numPr>
          <w:ilvl w:val="1"/>
          <w:numId w:val="3"/>
        </w:numPr>
        <w:rPr>
          <w:rFonts w:asciiTheme="minorHAnsi" w:eastAsia="Times New Roman" w:hAnsiTheme="minorHAnsi" w:cstheme="minorHAnsi"/>
          <w:sz w:val="22"/>
          <w:szCs w:val="22"/>
        </w:rPr>
      </w:pPr>
      <w:r w:rsidRPr="00AA655B">
        <w:rPr>
          <w:rFonts w:asciiTheme="minorHAnsi" w:eastAsia="Times New Roman" w:hAnsiTheme="minorHAnsi" w:cstheme="minorHAnsi"/>
          <w:sz w:val="22"/>
          <w:szCs w:val="22"/>
        </w:rPr>
        <w:t>D</w:t>
      </w:r>
      <w:r w:rsidR="00D73E76" w:rsidRPr="00AA655B">
        <w:rPr>
          <w:rFonts w:asciiTheme="minorHAnsi" w:eastAsia="Times New Roman" w:hAnsiTheme="minorHAnsi" w:cstheme="minorHAnsi"/>
          <w:sz w:val="22"/>
          <w:szCs w:val="22"/>
        </w:rPr>
        <w:t xml:space="preserve">ecreet omgevingsvergunningen (art. 2 van wijzigingsbesluit voegt toe aan art. 99 §3): </w:t>
      </w:r>
      <w:r w:rsidR="00D73E76" w:rsidRPr="00AA655B">
        <w:rPr>
          <w:rFonts w:asciiTheme="minorHAnsi" w:eastAsia="Times New Roman" w:hAnsiTheme="minorHAnsi" w:cstheme="minorHAnsi"/>
          <w:sz w:val="22"/>
          <w:szCs w:val="22"/>
        </w:rPr>
        <w:br/>
        <w:t xml:space="preserve">Een vergunning vervalt enkel voor het deel dat niet gebouwd/verbouwd/ingevuld is. </w:t>
      </w:r>
      <w:r w:rsidR="00D73E76" w:rsidRPr="00AA655B">
        <w:rPr>
          <w:rFonts w:asciiTheme="minorHAnsi" w:eastAsia="Times New Roman" w:hAnsiTheme="minorHAnsi" w:cstheme="minorHAnsi"/>
          <w:sz w:val="22"/>
          <w:szCs w:val="22"/>
        </w:rPr>
        <w:br/>
        <w:t xml:space="preserve">De rest blijft vergund (zie de uitgebreide bespreking van mogelijke scenario’s in de </w:t>
      </w:r>
      <w:proofErr w:type="spellStart"/>
      <w:r w:rsidR="00D73E76" w:rsidRPr="00AA655B">
        <w:rPr>
          <w:rFonts w:asciiTheme="minorHAnsi" w:eastAsia="Times New Roman" w:hAnsiTheme="minorHAnsi" w:cstheme="minorHAnsi"/>
          <w:sz w:val="22"/>
          <w:szCs w:val="22"/>
        </w:rPr>
        <w:t>MvT</w:t>
      </w:r>
      <w:proofErr w:type="spellEnd"/>
      <w:r w:rsidR="00D73E76" w:rsidRPr="00AA655B">
        <w:rPr>
          <w:rFonts w:asciiTheme="minorHAnsi" w:eastAsia="Times New Roman" w:hAnsiTheme="minorHAnsi" w:cstheme="minorHAnsi"/>
          <w:sz w:val="22"/>
          <w:szCs w:val="22"/>
        </w:rPr>
        <w:t xml:space="preserve"> (p. 7)</w:t>
      </w:r>
    </w:p>
    <w:p w14:paraId="0F501B0D" w14:textId="71BBED01" w:rsidR="00D73E76" w:rsidRPr="00AA655B" w:rsidRDefault="00AA655B" w:rsidP="00AA655B">
      <w:pPr>
        <w:pStyle w:val="Lijstalinea"/>
        <w:numPr>
          <w:ilvl w:val="1"/>
          <w:numId w:val="3"/>
        </w:numPr>
        <w:rPr>
          <w:rFonts w:asciiTheme="minorHAnsi" w:eastAsia="Times New Roman" w:hAnsiTheme="minorHAnsi" w:cstheme="minorHAnsi"/>
          <w:sz w:val="22"/>
          <w:szCs w:val="22"/>
        </w:rPr>
      </w:pPr>
      <w:r w:rsidRPr="00AA655B">
        <w:rPr>
          <w:rFonts w:asciiTheme="minorHAnsi" w:eastAsia="Times New Roman" w:hAnsiTheme="minorHAnsi" w:cstheme="minorHAnsi"/>
          <w:sz w:val="22"/>
          <w:szCs w:val="22"/>
        </w:rPr>
        <w:t>U</w:t>
      </w:r>
      <w:r w:rsidR="00D73E76" w:rsidRPr="00AA655B">
        <w:rPr>
          <w:rFonts w:asciiTheme="minorHAnsi" w:eastAsia="Times New Roman" w:hAnsiTheme="minorHAnsi" w:cstheme="minorHAnsi"/>
          <w:sz w:val="22"/>
          <w:szCs w:val="22"/>
        </w:rPr>
        <w:t xml:space="preserve">itvoeringsbesluit bij het decreet omgevingsvergunningen </w:t>
      </w:r>
      <w:r w:rsidR="00D73E76" w:rsidRPr="00AA655B">
        <w:rPr>
          <w:rFonts w:asciiTheme="minorHAnsi" w:eastAsia="Times New Roman" w:hAnsiTheme="minorHAnsi" w:cstheme="minorHAnsi"/>
          <w:sz w:val="22"/>
          <w:szCs w:val="22"/>
        </w:rPr>
        <w:br/>
        <w:t>In functie van de noodzakelijke aanpassingen aan het aanvraagformulier.</w:t>
      </w:r>
    </w:p>
    <w:p w14:paraId="0F2A7820" w14:textId="7453E73F" w:rsidR="00D73E76" w:rsidRPr="00AA655B" w:rsidRDefault="00D73E76" w:rsidP="00D73E76">
      <w:pPr>
        <w:rPr>
          <w:rFonts w:cstheme="minorHAnsi"/>
        </w:rPr>
      </w:pPr>
    </w:p>
    <w:p w14:paraId="6B4F1227" w14:textId="1552A0F2" w:rsidR="00D73E76" w:rsidRDefault="00D73E76" w:rsidP="00D73E76">
      <w:pPr>
        <w:rPr>
          <w:b/>
          <w:bCs/>
        </w:rPr>
      </w:pPr>
      <w:r>
        <w:rPr>
          <w:b/>
          <w:bCs/>
        </w:rPr>
        <w:t>Inwerkingtreding</w:t>
      </w:r>
    </w:p>
    <w:p w14:paraId="128DCC3A" w14:textId="33B28EA2" w:rsidR="00C24DAB" w:rsidRPr="00AA655B" w:rsidRDefault="00C24DAB" w:rsidP="00D73E76">
      <w:r>
        <w:lastRenderedPageBreak/>
        <w:t xml:space="preserve">Zoals eerder </w:t>
      </w:r>
      <w:r w:rsidR="00193D9E">
        <w:t xml:space="preserve">al </w:t>
      </w:r>
      <w:r>
        <w:t xml:space="preserve">duidelijk gesteld, gaat </w:t>
      </w:r>
      <w:r w:rsidR="00193D9E">
        <w:t xml:space="preserve">het </w:t>
      </w:r>
      <w:r>
        <w:t xml:space="preserve">vooralsnog enkel om een eerste principiële goedkeuring van het ontwerpdecreet. Een eventuele latere inwerkingtreding is voorzien op de </w:t>
      </w:r>
      <w:r w:rsidR="00D73E76">
        <w:t>dag na de bekendmaking in het Staatsblad.</w:t>
      </w:r>
      <w:r>
        <w:t xml:space="preserve"> Hierop gelden 2 uitzonderingen:</w:t>
      </w:r>
      <w:r w:rsidR="00D73E76">
        <w:t xml:space="preserve"> art. 4 (opdeling categorie 4) en art. 6 (opsplitsing handelszaken). De inwerkingtreding van deze 2 artikelen wordt nog beslist door de Vlaamse Regering</w:t>
      </w:r>
      <w:r>
        <w:t xml:space="preserve">, in functie van de vereiste aanpassingen aan </w:t>
      </w:r>
      <w:r w:rsidR="00D73E76">
        <w:t xml:space="preserve">het omgevingsloket. </w:t>
      </w:r>
    </w:p>
    <w:p w14:paraId="4F781C8E" w14:textId="659456FA" w:rsidR="00C24DAB" w:rsidRDefault="00C24DAB" w:rsidP="00C24DAB">
      <w:pPr>
        <w:pBdr>
          <w:bottom w:val="single" w:sz="4" w:space="1" w:color="auto"/>
        </w:pBdr>
        <w:rPr>
          <w:b/>
          <w:bCs/>
        </w:rPr>
      </w:pPr>
      <w:r>
        <w:rPr>
          <w:b/>
          <w:bCs/>
        </w:rPr>
        <w:t>Kanttekeningen</w:t>
      </w:r>
    </w:p>
    <w:p w14:paraId="6C8383B0" w14:textId="165E13A1" w:rsidR="00D73E76" w:rsidRDefault="00D73E76" w:rsidP="00D73E76">
      <w:r>
        <w:t xml:space="preserve">In het algemeen </w:t>
      </w:r>
      <w:r w:rsidR="00C24DAB">
        <w:t xml:space="preserve">is de VVSG </w:t>
      </w:r>
      <w:r>
        <w:t xml:space="preserve">tevreden met de </w:t>
      </w:r>
      <w:r w:rsidR="00C24DAB">
        <w:t xml:space="preserve">meeste </w:t>
      </w:r>
      <w:r>
        <w:t>wijzigingen, gezien we hiervoor vragende partij waren. Toch zijn er ook enkele – niet onbelangrijke – minpunten en aandachtspunten:</w:t>
      </w:r>
    </w:p>
    <w:p w14:paraId="4D50AC52" w14:textId="0851A833" w:rsidR="00D73E76" w:rsidRDefault="00C24DAB" w:rsidP="00C24DAB">
      <w:pPr>
        <w:rPr>
          <w:rFonts w:ascii="Calibri" w:eastAsia="Times New Roman" w:hAnsi="Calibri" w:cs="Calibri"/>
        </w:rPr>
      </w:pPr>
      <w:r>
        <w:t xml:space="preserve">De totstandkoming van dit ontwerpdecreet duurde erg lang ondanks dat er bij de start al vrij veel </w:t>
      </w:r>
      <w:r w:rsidR="00D73E76">
        <w:t xml:space="preserve">eensgezindheid </w:t>
      </w:r>
      <w:r>
        <w:t xml:space="preserve">was over een aantal zaken. </w:t>
      </w:r>
      <w:r w:rsidR="00D73E76">
        <w:t>Bovendien blijft het nu ook nog afwachten</w:t>
      </w:r>
      <w:r>
        <w:t xml:space="preserve"> of </w:t>
      </w:r>
      <w:r w:rsidR="00D73E76">
        <w:rPr>
          <w:rFonts w:ascii="Calibri" w:eastAsia="Times New Roman" w:hAnsi="Calibri" w:cs="Calibri"/>
        </w:rPr>
        <w:t>dit dossier finaal landt en of de inwerkingtreding van artikelen 4 en 6</w:t>
      </w:r>
      <w:r w:rsidR="004F1C05">
        <w:rPr>
          <w:rFonts w:ascii="Calibri" w:eastAsia="Times New Roman" w:hAnsi="Calibri" w:cs="Calibri"/>
        </w:rPr>
        <w:t xml:space="preserve"> niet te lang op zich laten wachten</w:t>
      </w:r>
      <w:r w:rsidR="00D73E76">
        <w:rPr>
          <w:rFonts w:ascii="Calibri" w:eastAsia="Times New Roman" w:hAnsi="Calibri" w:cs="Calibri"/>
        </w:rPr>
        <w:t>.</w:t>
      </w:r>
    </w:p>
    <w:p w14:paraId="4402A9B9" w14:textId="7C931A81" w:rsidR="00D73E76" w:rsidRDefault="004F1C05" w:rsidP="00D73E76">
      <w:r>
        <w:t xml:space="preserve">Bovendien pleitten we </w:t>
      </w:r>
      <w:r w:rsidR="00D73E76">
        <w:t xml:space="preserve">(zie </w:t>
      </w:r>
      <w:hyperlink r:id="rId14" w:history="1">
        <w:r w:rsidR="00D73E76">
          <w:rPr>
            <w:rStyle w:val="Hyperlink"/>
          </w:rPr>
          <w:t>standpuntnota</w:t>
        </w:r>
      </w:hyperlink>
      <w:r w:rsidR="00D73E76">
        <w:t>) niet enkel voor deze concrete wijzigingen op korte termijn. We vroegen ook steeds om met spoed werk te maken van:</w:t>
      </w:r>
    </w:p>
    <w:p w14:paraId="3535FAAB" w14:textId="0C01CF71" w:rsidR="00D73E76" w:rsidRDefault="00D73E76" w:rsidP="00D73E76">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Een meer fundamentele herziening van het hele regelgevende kader</w:t>
      </w:r>
      <w:r>
        <w:rPr>
          <w:rFonts w:ascii="Calibri" w:eastAsia="Times New Roman" w:hAnsi="Calibri" w:cs="Calibri"/>
          <w:sz w:val="22"/>
          <w:szCs w:val="22"/>
        </w:rPr>
        <w:br/>
        <w:t xml:space="preserve">bv. om ook andere publiekstrekkende functies mee in ogenschouw te nemen (cf. </w:t>
      </w:r>
      <w:r w:rsidR="004F1C05">
        <w:rPr>
          <w:rFonts w:ascii="Calibri" w:eastAsia="Times New Roman" w:hAnsi="Calibri" w:cs="Calibri"/>
          <w:sz w:val="22"/>
          <w:szCs w:val="22"/>
        </w:rPr>
        <w:t xml:space="preserve">het concept </w:t>
      </w:r>
      <w:r>
        <w:rPr>
          <w:rFonts w:ascii="Calibri" w:eastAsia="Times New Roman" w:hAnsi="Calibri" w:cs="Calibri"/>
          <w:sz w:val="22"/>
          <w:szCs w:val="22"/>
        </w:rPr>
        <w:t xml:space="preserve">‘bedrijvige kern’) en om meer sturend te kunnen optreden </w:t>
      </w:r>
      <w:r w:rsidR="004F1C05">
        <w:rPr>
          <w:rFonts w:ascii="Calibri" w:eastAsia="Times New Roman" w:hAnsi="Calibri" w:cs="Calibri"/>
          <w:sz w:val="22"/>
          <w:szCs w:val="22"/>
        </w:rPr>
        <w:t xml:space="preserve">aan de hand van een – op Vlaams niveau – </w:t>
      </w:r>
      <w:r>
        <w:rPr>
          <w:rFonts w:ascii="Calibri" w:eastAsia="Times New Roman" w:hAnsi="Calibri" w:cs="Calibri"/>
          <w:sz w:val="22"/>
          <w:szCs w:val="22"/>
        </w:rPr>
        <w:t>beter</w:t>
      </w:r>
      <w:r w:rsidR="004F1C05">
        <w:rPr>
          <w:rFonts w:ascii="Calibri" w:eastAsia="Times New Roman" w:hAnsi="Calibri" w:cs="Calibri"/>
          <w:sz w:val="22"/>
          <w:szCs w:val="22"/>
        </w:rPr>
        <w:t xml:space="preserve">e </w:t>
      </w:r>
      <w:r>
        <w:rPr>
          <w:rFonts w:ascii="Calibri" w:eastAsia="Times New Roman" w:hAnsi="Calibri" w:cs="Calibri"/>
          <w:sz w:val="22"/>
          <w:szCs w:val="22"/>
        </w:rPr>
        <w:t>juridische onderbouwing.</w:t>
      </w:r>
    </w:p>
    <w:p w14:paraId="72DE5181" w14:textId="2E3477C3" w:rsidR="00D73E76" w:rsidRDefault="00D73E76" w:rsidP="00D73E76">
      <w:pPr>
        <w:pStyle w:val="Lijstalinea"/>
        <w:numPr>
          <w:ilvl w:val="0"/>
          <w:numId w:val="3"/>
        </w:numPr>
        <w:rPr>
          <w:rFonts w:ascii="Calibri" w:eastAsia="Times New Roman" w:hAnsi="Calibri" w:cs="Calibri"/>
          <w:sz w:val="22"/>
          <w:szCs w:val="22"/>
        </w:rPr>
      </w:pPr>
      <w:r>
        <w:rPr>
          <w:rFonts w:ascii="Calibri" w:eastAsia="Times New Roman" w:hAnsi="Calibri" w:cs="Calibri"/>
          <w:sz w:val="22"/>
          <w:szCs w:val="22"/>
        </w:rPr>
        <w:t>Een Vlaams beleidskader inzake detailhandel</w:t>
      </w:r>
      <w:r>
        <w:rPr>
          <w:rFonts w:ascii="Calibri" w:eastAsia="Times New Roman" w:hAnsi="Calibri" w:cs="Calibri"/>
          <w:sz w:val="22"/>
          <w:szCs w:val="22"/>
        </w:rPr>
        <w:br/>
        <w:t xml:space="preserve">Dit was al aangekondigd bij de opmaak van het initiële decreet IHB. </w:t>
      </w:r>
      <w:r w:rsidR="004F1C05">
        <w:rPr>
          <w:rFonts w:ascii="Calibri" w:eastAsia="Times New Roman" w:hAnsi="Calibri" w:cs="Calibri"/>
          <w:sz w:val="22"/>
          <w:szCs w:val="22"/>
        </w:rPr>
        <w:t xml:space="preserve">Voorlopig is er ook tijdens deze </w:t>
      </w:r>
      <w:r>
        <w:rPr>
          <w:rFonts w:ascii="Calibri" w:eastAsia="Times New Roman" w:hAnsi="Calibri" w:cs="Calibri"/>
          <w:sz w:val="22"/>
          <w:szCs w:val="22"/>
        </w:rPr>
        <w:t>legislatuur hieromtrent weinig concrete vooruitgang geboekt.</w:t>
      </w:r>
      <w:r>
        <w:rPr>
          <w:rFonts w:ascii="Calibri" w:eastAsia="Times New Roman" w:hAnsi="Calibri" w:cs="Calibri"/>
          <w:sz w:val="22"/>
          <w:szCs w:val="22"/>
        </w:rPr>
        <w:br/>
        <w:t>Ook nu wordt verwezen naar een beleidskader dat er aan zal komen. Daarbij wordt melding gemaakt van een Vlaamse beleidsvisie, ‘</w:t>
      </w:r>
      <w:r>
        <w:rPr>
          <w:rFonts w:ascii="Calibri" w:eastAsia="Times New Roman" w:hAnsi="Calibri" w:cs="Calibri"/>
          <w:i/>
          <w:iCs/>
          <w:sz w:val="22"/>
          <w:szCs w:val="22"/>
        </w:rPr>
        <w:t>zodat gemeenten hierop kunnen terugvallen bij de beoordeling van een vergunningsaanvraag</w:t>
      </w:r>
      <w:r>
        <w:rPr>
          <w:rFonts w:ascii="Calibri" w:eastAsia="Times New Roman" w:hAnsi="Calibri" w:cs="Calibri"/>
          <w:sz w:val="22"/>
          <w:szCs w:val="22"/>
        </w:rPr>
        <w:t>’.  Het blijft wachten hierop, net als – zoals we eerder vroegen – …</w:t>
      </w:r>
    </w:p>
    <w:p w14:paraId="55E9A478" w14:textId="6EDC99DE" w:rsidR="00D73E76" w:rsidRDefault="00D73E76" w:rsidP="00D73E76">
      <w:pPr>
        <w:pStyle w:val="Lijstalinea"/>
        <w:numPr>
          <w:ilvl w:val="1"/>
          <w:numId w:val="3"/>
        </w:numPr>
        <w:rPr>
          <w:rFonts w:ascii="Calibri" w:eastAsia="Times New Roman" w:hAnsi="Calibri" w:cs="Calibri"/>
          <w:sz w:val="22"/>
          <w:szCs w:val="22"/>
        </w:rPr>
      </w:pPr>
      <w:r>
        <w:rPr>
          <w:rFonts w:ascii="Calibri" w:eastAsia="Times New Roman" w:hAnsi="Calibri" w:cs="Calibri"/>
          <w:sz w:val="22"/>
          <w:szCs w:val="22"/>
        </w:rPr>
        <w:t>een daadkrachtiger beleid en concrete keuzes op Vlaams niveau m.b.t. de afbakening van winkelvrije en winkelarme gebieden en het weren van niet-gewenste ontwikkelingen in de periferie</w:t>
      </w:r>
      <w:r w:rsidR="004F1C05">
        <w:rPr>
          <w:rFonts w:ascii="Calibri" w:eastAsia="Times New Roman" w:hAnsi="Calibri" w:cs="Calibri"/>
          <w:sz w:val="22"/>
          <w:szCs w:val="22"/>
        </w:rPr>
        <w:t>;</w:t>
      </w:r>
    </w:p>
    <w:p w14:paraId="7F576AEE" w14:textId="7D20BE3E" w:rsidR="00D73E76" w:rsidRDefault="00D73E76" w:rsidP="00D73E76">
      <w:pPr>
        <w:pStyle w:val="Lijstalinea"/>
        <w:numPr>
          <w:ilvl w:val="1"/>
          <w:numId w:val="3"/>
        </w:numPr>
        <w:rPr>
          <w:rFonts w:ascii="Calibri" w:eastAsia="Times New Roman" w:hAnsi="Calibri" w:cs="Calibri"/>
          <w:sz w:val="22"/>
          <w:szCs w:val="22"/>
        </w:rPr>
      </w:pPr>
      <w:r>
        <w:rPr>
          <w:rFonts w:ascii="Calibri" w:eastAsia="Times New Roman" w:hAnsi="Calibri" w:cs="Calibri"/>
          <w:sz w:val="22"/>
          <w:szCs w:val="22"/>
        </w:rPr>
        <w:t xml:space="preserve">Een meer doorgedreven juridische ondersteuning bij de opmaak van </w:t>
      </w:r>
      <w:proofErr w:type="spellStart"/>
      <w:r>
        <w:rPr>
          <w:rFonts w:ascii="Calibri" w:eastAsia="Times New Roman" w:hAnsi="Calibri" w:cs="Calibri"/>
          <w:sz w:val="22"/>
          <w:szCs w:val="22"/>
        </w:rPr>
        <w:t>RUPs</w:t>
      </w:r>
      <w:proofErr w:type="spellEnd"/>
      <w:r>
        <w:rPr>
          <w:rFonts w:ascii="Calibri" w:eastAsia="Times New Roman" w:hAnsi="Calibri" w:cs="Calibri"/>
          <w:sz w:val="22"/>
          <w:szCs w:val="22"/>
        </w:rPr>
        <w:t xml:space="preserve">/verordeningen (nu deels gerealiseerd via de </w:t>
      </w:r>
      <w:hyperlink r:id="rId15" w:history="1">
        <w:r>
          <w:rPr>
            <w:rStyle w:val="Hyperlink"/>
            <w:rFonts w:ascii="Calibri" w:eastAsia="Times New Roman" w:hAnsi="Calibri" w:cs="Calibri"/>
            <w:sz w:val="22"/>
            <w:szCs w:val="22"/>
          </w:rPr>
          <w:t>subsidieoproep</w:t>
        </w:r>
      </w:hyperlink>
      <w:r>
        <w:rPr>
          <w:rFonts w:ascii="Calibri" w:eastAsia="Times New Roman" w:hAnsi="Calibri" w:cs="Calibri"/>
          <w:sz w:val="22"/>
          <w:szCs w:val="22"/>
        </w:rPr>
        <w:t xml:space="preserve">, </w:t>
      </w:r>
      <w:r w:rsidR="004F1C05">
        <w:rPr>
          <w:rFonts w:ascii="Calibri" w:eastAsia="Times New Roman" w:hAnsi="Calibri" w:cs="Calibri"/>
          <w:sz w:val="22"/>
          <w:szCs w:val="22"/>
        </w:rPr>
        <w:t xml:space="preserve">waarvoor nog voorstellen kunnen worden ingediend </w:t>
      </w:r>
      <w:r>
        <w:rPr>
          <w:rFonts w:ascii="Calibri" w:eastAsia="Times New Roman" w:hAnsi="Calibri" w:cs="Calibri"/>
          <w:sz w:val="22"/>
          <w:szCs w:val="22"/>
        </w:rPr>
        <w:t>tot 30</w:t>
      </w:r>
      <w:r w:rsidR="004F1C05">
        <w:rPr>
          <w:rFonts w:ascii="Calibri" w:eastAsia="Times New Roman" w:hAnsi="Calibri" w:cs="Calibri"/>
          <w:sz w:val="22"/>
          <w:szCs w:val="22"/>
        </w:rPr>
        <w:t xml:space="preserve"> november 2022)</w:t>
      </w:r>
      <w:r>
        <w:rPr>
          <w:rFonts w:ascii="Calibri" w:eastAsia="Times New Roman" w:hAnsi="Calibri" w:cs="Calibri"/>
          <w:sz w:val="22"/>
          <w:szCs w:val="22"/>
        </w:rPr>
        <w:t xml:space="preserve"> of andere sturende initiatieven</w:t>
      </w:r>
      <w:r w:rsidR="004F1C05">
        <w:rPr>
          <w:rFonts w:ascii="Calibri" w:eastAsia="Times New Roman" w:hAnsi="Calibri" w:cs="Calibri"/>
          <w:sz w:val="22"/>
          <w:szCs w:val="22"/>
        </w:rPr>
        <w:t>;</w:t>
      </w:r>
    </w:p>
    <w:p w14:paraId="57AE1669" w14:textId="5F9E0FD0" w:rsidR="00D73E76" w:rsidRDefault="00D73E76" w:rsidP="00D73E76">
      <w:pPr>
        <w:pStyle w:val="Lijstalinea"/>
        <w:numPr>
          <w:ilvl w:val="1"/>
          <w:numId w:val="3"/>
        </w:numPr>
        <w:rPr>
          <w:rFonts w:ascii="Calibri" w:eastAsia="Times New Roman" w:hAnsi="Calibri" w:cs="Calibri"/>
          <w:sz w:val="22"/>
          <w:szCs w:val="22"/>
        </w:rPr>
      </w:pPr>
      <w:r>
        <w:rPr>
          <w:rFonts w:ascii="Calibri" w:eastAsia="Times New Roman" w:hAnsi="Calibri" w:cs="Calibri"/>
          <w:sz w:val="22"/>
          <w:szCs w:val="22"/>
        </w:rPr>
        <w:t>Betere beschikbaarheid van mobiliteitsdata en de ontwikkeling van (cumulatieve) mobiliteitsgrenswaarden</w:t>
      </w:r>
      <w:r w:rsidR="004F1C05">
        <w:rPr>
          <w:rFonts w:ascii="Calibri" w:eastAsia="Times New Roman" w:hAnsi="Calibri" w:cs="Calibri"/>
          <w:sz w:val="22"/>
          <w:szCs w:val="22"/>
        </w:rPr>
        <w:t>;</w:t>
      </w:r>
    </w:p>
    <w:p w14:paraId="4C9E8DFD" w14:textId="551D98E5" w:rsidR="00D73E76" w:rsidRDefault="00D73E76" w:rsidP="00D73E76">
      <w:pPr>
        <w:pStyle w:val="Lijstalinea"/>
        <w:numPr>
          <w:ilvl w:val="1"/>
          <w:numId w:val="3"/>
        </w:numPr>
        <w:rPr>
          <w:rFonts w:ascii="Calibri" w:eastAsia="Times New Roman" w:hAnsi="Calibri" w:cs="Calibri"/>
          <w:sz w:val="22"/>
          <w:szCs w:val="22"/>
        </w:rPr>
      </w:pPr>
      <w:r>
        <w:rPr>
          <w:rFonts w:ascii="Calibri" w:eastAsia="Times New Roman" w:hAnsi="Calibri" w:cs="Calibri"/>
          <w:sz w:val="22"/>
          <w:szCs w:val="22"/>
        </w:rPr>
        <w:t xml:space="preserve">Een adequaat flankerend beleid (met o.m. een herziening van de vrijstelling </w:t>
      </w:r>
      <w:r w:rsidR="004F1C05">
        <w:rPr>
          <w:rFonts w:ascii="Calibri" w:eastAsia="Times New Roman" w:hAnsi="Calibri" w:cs="Calibri"/>
          <w:sz w:val="22"/>
          <w:szCs w:val="22"/>
        </w:rPr>
        <w:t xml:space="preserve">van </w:t>
      </w:r>
      <w:r>
        <w:rPr>
          <w:rFonts w:ascii="Calibri" w:eastAsia="Times New Roman" w:hAnsi="Calibri" w:cs="Calibri"/>
          <w:sz w:val="22"/>
          <w:szCs w:val="22"/>
        </w:rPr>
        <w:t>onroerende voorheffing bij de omvorming van handel naar wonen,</w:t>
      </w:r>
      <w:r w:rsidR="004F1C05">
        <w:rPr>
          <w:rFonts w:ascii="Calibri" w:eastAsia="Times New Roman" w:hAnsi="Calibri" w:cs="Calibri"/>
          <w:sz w:val="22"/>
          <w:szCs w:val="22"/>
        </w:rPr>
        <w:t xml:space="preserve"> een doorgedreven ondersteuning bij een eventuele </w:t>
      </w:r>
      <w:r>
        <w:rPr>
          <w:rFonts w:ascii="Calibri" w:eastAsia="Times New Roman" w:hAnsi="Calibri" w:cs="Calibri"/>
          <w:sz w:val="22"/>
          <w:szCs w:val="22"/>
        </w:rPr>
        <w:t xml:space="preserve">differentiatie </w:t>
      </w:r>
      <w:r w:rsidR="004F1C05">
        <w:rPr>
          <w:rFonts w:ascii="Calibri" w:eastAsia="Times New Roman" w:hAnsi="Calibri" w:cs="Calibri"/>
          <w:sz w:val="22"/>
          <w:szCs w:val="22"/>
        </w:rPr>
        <w:t xml:space="preserve">van de </w:t>
      </w:r>
      <w:r>
        <w:rPr>
          <w:rFonts w:ascii="Calibri" w:eastAsia="Times New Roman" w:hAnsi="Calibri" w:cs="Calibri"/>
          <w:sz w:val="22"/>
          <w:szCs w:val="22"/>
        </w:rPr>
        <w:t>opcentiemen, …)</w:t>
      </w:r>
    </w:p>
    <w:p w14:paraId="79BA0690" w14:textId="77777777" w:rsidR="00D73E76" w:rsidRDefault="00D73E76" w:rsidP="00D73E76">
      <w:pPr>
        <w:rPr>
          <w:rFonts w:ascii="Calibri" w:hAnsi="Calibri" w:cs="Calibri"/>
        </w:rPr>
      </w:pPr>
    </w:p>
    <w:p w14:paraId="709AB27A" w14:textId="6AA3C68F" w:rsidR="00D73E76" w:rsidRDefault="00D73E76" w:rsidP="00D73E76">
      <w:r>
        <w:t xml:space="preserve">Tot slot haalden een aantal andere zaken het spijtig genoeg </w:t>
      </w:r>
      <w:r w:rsidR="00C15EAD">
        <w:t>niet</w:t>
      </w:r>
      <w:r>
        <w:t xml:space="preserve">, </w:t>
      </w:r>
      <w:r w:rsidR="00C15EAD">
        <w:t xml:space="preserve">zoals </w:t>
      </w:r>
      <w:r>
        <w:t xml:space="preserve">de inperking van de vrijstellingsregeling </w:t>
      </w:r>
      <w:r w:rsidR="004F1C05">
        <w:t xml:space="preserve">voor tijdelijke vestigingen </w:t>
      </w:r>
      <w:r>
        <w:t>op bedrijventerreinen.  In het aanvankelijke ontwerp van decreet zat dit nog wel vervat.</w:t>
      </w:r>
      <w:r w:rsidR="004F1C05">
        <w:t xml:space="preserve"> We betreuren dat dit onderdeel niet weerhouden werd, gezien de Vlaamse Regering hiermee de mogelijkheid </w:t>
      </w:r>
      <w:r w:rsidR="00EA5F6E">
        <w:t xml:space="preserve">laat </w:t>
      </w:r>
      <w:r w:rsidR="004F1C05">
        <w:t>liggen om een teveel aan pop-ups, outletverkopen (dikwijls aan dumpingprijzen), … op bedrijventerreinen te vermijden.</w:t>
      </w:r>
    </w:p>
    <w:p w14:paraId="207466A0" w14:textId="76940D99" w:rsidR="00D73E76" w:rsidRPr="004F1C05" w:rsidRDefault="004F1C05" w:rsidP="004F1C05">
      <w:pPr>
        <w:pBdr>
          <w:bottom w:val="single" w:sz="4" w:space="1" w:color="auto"/>
        </w:pBdr>
        <w:rPr>
          <w:b/>
          <w:bCs/>
        </w:rPr>
      </w:pPr>
      <w:r>
        <w:rPr>
          <w:b/>
          <w:bCs/>
        </w:rPr>
        <w:t>Wat nu?</w:t>
      </w:r>
    </w:p>
    <w:p w14:paraId="2C91C977" w14:textId="0E4B3684" w:rsidR="00D73E76" w:rsidRDefault="00D73E76" w:rsidP="00D73E76">
      <w:r>
        <w:lastRenderedPageBreak/>
        <w:t>Na deze eerste principiële goedkeuring wordt het ontwerp van decreet nu voorgelegd voor advies aan de SERV</w:t>
      </w:r>
      <w:r w:rsidR="006C7640">
        <w:t xml:space="preserve"> </w:t>
      </w:r>
      <w:r>
        <w:t>en de SARO. Na een tweede principiële goedkeuring door de Vlaamse Regering zal het advies gevraagd worden aan de Raad van State.</w:t>
      </w:r>
    </w:p>
    <w:p w14:paraId="241E3F42" w14:textId="1ABCC90D" w:rsidR="0051331C" w:rsidRDefault="00D73E76" w:rsidP="0051331C">
      <w:r>
        <w:t>Afhankelijk van de opmerkingen van de Raad van State kan het ontwerp– al dan niet gewijzigd – naar het Vlaams Parlement. Nadien volgt nog de publicatie in het Belgisch Staatsblad.</w:t>
      </w:r>
      <w:r w:rsidR="009D12AF">
        <w:t xml:space="preserve"> </w:t>
      </w:r>
      <w:r w:rsidR="00391D2A">
        <w:t>Tot slot zal v</w:t>
      </w:r>
      <w:r>
        <w:t xml:space="preserve">oor de inwerkingtreding van artikelen 4 en 6 nog gewacht </w:t>
      </w:r>
      <w:r w:rsidR="00391D2A">
        <w:t xml:space="preserve">moeten </w:t>
      </w:r>
      <w:r>
        <w:t>worden op de noodzakelijke aanpassingen aan het Omgevingsloket.</w:t>
      </w:r>
      <w:r w:rsidR="0051331C">
        <w:t xml:space="preserve"> We houden u alleszins op de hoogte van het verdere verloop inzake dit ontwerpdecreet.</w:t>
      </w:r>
    </w:p>
    <w:p w14:paraId="6C140213" w14:textId="112F0010" w:rsidR="00554BB5" w:rsidRDefault="00391D2A" w:rsidP="00D73E76">
      <w:r>
        <w:t xml:space="preserve">We hopen allereerst dat bovenstaande proces zo vlot mogelijk zal verlopen én dat de Vlaamse Regering daarnaast ook dringend werk maakt van onze andere verzuchtingen, zoals hoger geschetst (beleidskader met duidelijke en ambitieuze keuzes, </w:t>
      </w:r>
      <w:r w:rsidR="0029400B">
        <w:t xml:space="preserve">fundamentele herdenking </w:t>
      </w:r>
      <w:r w:rsidR="006C7640">
        <w:t xml:space="preserve">van het </w:t>
      </w:r>
      <w:r w:rsidR="0029400B">
        <w:t>vergunning</w:t>
      </w:r>
      <w:r w:rsidR="006C7640">
        <w:t>en</w:t>
      </w:r>
      <w:r w:rsidR="0029400B">
        <w:t xml:space="preserve">beleid, meer </w:t>
      </w:r>
      <w:r>
        <w:t>ondersteuning, flankerend beleid, …).</w:t>
      </w:r>
      <w:r w:rsidR="007C6FD3">
        <w:t xml:space="preserve"> Want het werk op Vlaams niveau is absoluut nog niet klaar. </w:t>
      </w:r>
      <w:r w:rsidR="00554BB5">
        <w:t xml:space="preserve"> De VVSG is graag bereid om hierover verder in dialoog te gaan met de betrokken administraties en kabinetten.  </w:t>
      </w:r>
    </w:p>
    <w:p w14:paraId="0D911EE8" w14:textId="34CD9C53" w:rsidR="00391D2A" w:rsidRDefault="007C6FD3" w:rsidP="00D73E76">
      <w:r>
        <w:t>Ondertussen roepen we de Vlaamse gemeenten op om ook op lokaal niveau verder</w:t>
      </w:r>
      <w:r w:rsidR="00554BB5">
        <w:t xml:space="preserve"> (en nog meer)</w:t>
      </w:r>
      <w:r>
        <w:t xml:space="preserve"> in te zetten op kernversterking, niet alleen door </w:t>
      </w:r>
      <w:r w:rsidR="008E257B">
        <w:t xml:space="preserve">stimulerende maatregelen te nemen voor het handelsgebeuren in de winkelkernen, maar evenzeer </w:t>
      </w:r>
      <w:r w:rsidR="00554BB5">
        <w:t xml:space="preserve">en vooral </w:t>
      </w:r>
      <w:r w:rsidR="008E257B">
        <w:t xml:space="preserve">door </w:t>
      </w:r>
      <w:r w:rsidR="004B2BB8">
        <w:t>duidelijke keuzes te maken en restricties op te leggen t.a.v. winkels buiten de kern.</w:t>
      </w:r>
      <w:r w:rsidR="00554BB5">
        <w:t xml:space="preserve"> Zonder dat laatste blijft het immers dweilen met de kraan open.</w:t>
      </w:r>
    </w:p>
    <w:p w14:paraId="078326C2" w14:textId="657FA0B2" w:rsidR="004E53A7" w:rsidRPr="004E53A7" w:rsidRDefault="004E53A7" w:rsidP="004E53A7">
      <w:pPr>
        <w:pBdr>
          <w:bottom w:val="single" w:sz="4" w:space="1" w:color="auto"/>
        </w:pBdr>
        <w:rPr>
          <w:b/>
          <w:bCs/>
        </w:rPr>
      </w:pPr>
      <w:r w:rsidRPr="004E53A7">
        <w:rPr>
          <w:b/>
          <w:bCs/>
        </w:rPr>
        <w:t>Meer info?</w:t>
      </w:r>
    </w:p>
    <w:p w14:paraId="429F66E9" w14:textId="7208F3D9" w:rsidR="004E53A7" w:rsidRDefault="004E53A7" w:rsidP="00D73E76">
      <w:r>
        <w:t xml:space="preserve">Vragen, opmerkingen, bedenkingen zijn welkom via </w:t>
      </w:r>
      <w:hyperlink r:id="rId16" w:history="1">
        <w:r w:rsidRPr="00D1092E">
          <w:rPr>
            <w:rStyle w:val="Hyperlink"/>
          </w:rPr>
          <w:t>economie@vvsg.be</w:t>
        </w:r>
      </w:hyperlink>
      <w:r>
        <w:t xml:space="preserve">. </w:t>
      </w:r>
    </w:p>
    <w:sectPr w:rsidR="004E53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21D1"/>
    <w:multiLevelType w:val="hybridMultilevel"/>
    <w:tmpl w:val="637E7564"/>
    <w:lvl w:ilvl="0" w:tplc="27F8C208">
      <w:start w:val="2"/>
      <w:numFmt w:val="bullet"/>
      <w:lvlText w:val=""/>
      <w:lvlJc w:val="left"/>
      <w:pPr>
        <w:ind w:left="360" w:hanging="360"/>
      </w:pPr>
      <w:rPr>
        <w:rFonts w:ascii="Symbol" w:eastAsia="Calibri" w:hAnsi="Symbol"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 w15:restartNumberingAfterBreak="0">
    <w:nsid w:val="162124A3"/>
    <w:multiLevelType w:val="hybridMultilevel"/>
    <w:tmpl w:val="273C81F0"/>
    <w:lvl w:ilvl="0" w:tplc="AB708DAA">
      <w:start w:val="46"/>
      <w:numFmt w:val="bullet"/>
      <w:lvlText w:val=""/>
      <w:lvlJc w:val="left"/>
      <w:pPr>
        <w:ind w:left="360" w:hanging="360"/>
      </w:pPr>
      <w:rPr>
        <w:rFonts w:ascii="Symbol" w:eastAsia="Calibri" w:hAnsi="Symbol"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343E678F"/>
    <w:multiLevelType w:val="hybridMultilevel"/>
    <w:tmpl w:val="58449636"/>
    <w:lvl w:ilvl="0" w:tplc="AB708DAA">
      <w:start w:val="46"/>
      <w:numFmt w:val="bullet"/>
      <w:lvlText w:val=""/>
      <w:lvlJc w:val="left"/>
      <w:pPr>
        <w:ind w:left="360" w:hanging="360"/>
      </w:pPr>
      <w:rPr>
        <w:rFonts w:ascii="Symbol" w:eastAsia="Calibri"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48DF4C85"/>
    <w:multiLevelType w:val="hybridMultilevel"/>
    <w:tmpl w:val="A7B2C26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7FBA63AB"/>
    <w:multiLevelType w:val="hybridMultilevel"/>
    <w:tmpl w:val="583A0E5C"/>
    <w:lvl w:ilvl="0" w:tplc="B7A4BBCE">
      <w:start w:val="7"/>
      <w:numFmt w:val="bullet"/>
      <w:lvlText w:val=""/>
      <w:lvlJc w:val="left"/>
      <w:pPr>
        <w:ind w:left="360" w:hanging="360"/>
      </w:pPr>
      <w:rPr>
        <w:rFonts w:ascii="Symbol" w:eastAsia="Calibri" w:hAnsi="Symbol"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276105396">
    <w:abstractNumId w:val="4"/>
  </w:num>
  <w:num w:numId="2" w16cid:durableId="90009720">
    <w:abstractNumId w:val="0"/>
  </w:num>
  <w:num w:numId="3" w16cid:durableId="344095480">
    <w:abstractNumId w:val="1"/>
  </w:num>
  <w:num w:numId="4" w16cid:durableId="145712409">
    <w:abstractNumId w:val="2"/>
  </w:num>
  <w:num w:numId="5" w16cid:durableId="1659842766">
    <w:abstractNumId w:val="0"/>
  </w:num>
  <w:num w:numId="6" w16cid:durableId="941760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76"/>
    <w:rsid w:val="00193D9E"/>
    <w:rsid w:val="00250459"/>
    <w:rsid w:val="0029400B"/>
    <w:rsid w:val="00391D2A"/>
    <w:rsid w:val="004B2BB8"/>
    <w:rsid w:val="004D49C7"/>
    <w:rsid w:val="004E53A7"/>
    <w:rsid w:val="004F1C05"/>
    <w:rsid w:val="0051331C"/>
    <w:rsid w:val="00520161"/>
    <w:rsid w:val="00554BB5"/>
    <w:rsid w:val="00685A48"/>
    <w:rsid w:val="006C7640"/>
    <w:rsid w:val="007C6FD3"/>
    <w:rsid w:val="008E257B"/>
    <w:rsid w:val="009312AE"/>
    <w:rsid w:val="009D12AF"/>
    <w:rsid w:val="00AA655B"/>
    <w:rsid w:val="00B305B5"/>
    <w:rsid w:val="00B33065"/>
    <w:rsid w:val="00BE1D69"/>
    <w:rsid w:val="00C15EAD"/>
    <w:rsid w:val="00C24DAB"/>
    <w:rsid w:val="00C87946"/>
    <w:rsid w:val="00CB773F"/>
    <w:rsid w:val="00D73E76"/>
    <w:rsid w:val="00EA5F6E"/>
    <w:rsid w:val="00EA7CB6"/>
    <w:rsid w:val="00F31E65"/>
    <w:rsid w:val="00FB00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DEE5"/>
  <w15:chartTrackingRefBased/>
  <w15:docId w15:val="{CCCD15BE-C796-4F0B-B2A1-B494D8CE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3E76"/>
    <w:rPr>
      <w:color w:val="0563C1"/>
      <w:u w:val="single"/>
    </w:rPr>
  </w:style>
  <w:style w:type="paragraph" w:styleId="Lijstalinea">
    <w:name w:val="List Paragraph"/>
    <w:basedOn w:val="Standaard"/>
    <w:uiPriority w:val="34"/>
    <w:qFormat/>
    <w:rsid w:val="00D73E76"/>
    <w:pPr>
      <w:spacing w:after="0" w:line="240" w:lineRule="auto"/>
      <w:ind w:left="720"/>
      <w:contextualSpacing/>
    </w:pPr>
    <w:rPr>
      <w:rFonts w:ascii="Arial" w:hAnsi="Arial" w:cs="Arial"/>
      <w:sz w:val="18"/>
      <w:szCs w:val="18"/>
      <w:lang w:eastAsia="nl-BE"/>
    </w:rPr>
  </w:style>
  <w:style w:type="character" w:styleId="Onopgelostemelding">
    <w:name w:val="Unresolved Mention"/>
    <w:basedOn w:val="Standaardalinea-lettertype"/>
    <w:uiPriority w:val="99"/>
    <w:semiHidden/>
    <w:unhideWhenUsed/>
    <w:rsid w:val="004E5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9307">
      <w:bodyDiv w:val="1"/>
      <w:marLeft w:val="0"/>
      <w:marRight w:val="0"/>
      <w:marTop w:val="0"/>
      <w:marBottom w:val="0"/>
      <w:divBdr>
        <w:top w:val="none" w:sz="0" w:space="0" w:color="auto"/>
        <w:left w:val="none" w:sz="0" w:space="0" w:color="auto"/>
        <w:bottom w:val="none" w:sz="0" w:space="0" w:color="auto"/>
        <w:right w:val="none" w:sz="0" w:space="0" w:color="auto"/>
      </w:divBdr>
    </w:div>
    <w:div w:id="165892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sg.be/Leden/Economie/Integraal%20handelsvestigingsbeleid/20220804_DecreetIHB_geco%C3%B6rdineerdeversie_VVSG.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eslissingenvlaamseregering.vlaanderen.be/document-view/62D010EF8E6C4430A8898B6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conomie@vvsg.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slissingenvlaamseregering.vlaanderen.be/document-view/62D010BF8E6C4430A8898B69" TargetMode="External"/><Relationship Id="rId5" Type="http://schemas.openxmlformats.org/officeDocument/2006/relationships/numbering" Target="numbering.xml"/><Relationship Id="rId15" Type="http://schemas.openxmlformats.org/officeDocument/2006/relationships/hyperlink" Target="https://www.vlaio.be/nl/vlaio-netwerk/opmaak-planconcepten-integraal-handelsvestigingsbeleid" TargetMode="External"/><Relationship Id="rId10" Type="http://schemas.openxmlformats.org/officeDocument/2006/relationships/hyperlink" Target="https://beslissingenvlaamseregering.vlaanderen.be/document-view/62D010DE8E6C4430A8898B6B" TargetMode="External"/><Relationship Id="rId4" Type="http://schemas.openxmlformats.org/officeDocument/2006/relationships/customXml" Target="../customXml/item4.xml"/><Relationship Id="rId9" Type="http://schemas.openxmlformats.org/officeDocument/2006/relationships/hyperlink" Target="https://www.vvsg.be/Leden/Economie/Nieuwsberichten/20210430_BedrijvigeKernen-IHB_Standpunt_VVSG.pdf" TargetMode="External"/><Relationship Id="rId14" Type="http://schemas.openxmlformats.org/officeDocument/2006/relationships/hyperlink" Target="https://www.vvsg.be/Leden/Economie/Nieuwsberichten/20210430_BedrijvigeKernen-IHB_Standpunt_VVSG.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_dlc_DocId xmlns="6afba18d-43fd-42d3-82f6-e46f17c33fff">VRH6WQH4Q7SR-1429224449-46768</_dlc_DocId>
    <lcf76f155ced4ddcb4097134ff3c332f xmlns="2a97f660-af6b-4599-a74b-3bb43437b3cd">
      <Terms xmlns="http://schemas.microsoft.com/office/infopath/2007/PartnerControls"/>
    </lcf76f155ced4ddcb4097134ff3c332f>
    <TaxCatchAll xmlns="6afba18d-43fd-42d3-82f6-e46f17c33fff" xsi:nil="true"/>
    <PublishingExpirationDate xmlns="http://schemas.microsoft.com/sharepoint/v3" xsi:nil="true"/>
    <_dlc_DocIdUrl xmlns="6afba18d-43fd-42d3-82f6-e46f17c33fff">
      <Url>https://vvsgbe.sharepoint.com/sites/economie/_layouts/15/DocIdRedir.aspx?ID=VRH6WQH4Q7SR-1429224449-46768</Url>
      <Description>VRH6WQH4Q7SR-1429224449-46768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9C0A69CFE5BD4D9C75C9CEDBE3DD6D" ma:contentTypeVersion="17" ma:contentTypeDescription="Een nieuw document maken." ma:contentTypeScope="" ma:versionID="7b580d6f91cebcef60134bef52fa2a2f">
  <xsd:schema xmlns:xsd="http://www.w3.org/2001/XMLSchema" xmlns:xs="http://www.w3.org/2001/XMLSchema" xmlns:p="http://schemas.microsoft.com/office/2006/metadata/properties" xmlns:ns1="http://schemas.microsoft.com/sharepoint/v3" xmlns:ns2="6afba18d-43fd-42d3-82f6-e46f17c33fff" xmlns:ns3="2a97f660-af6b-4599-a74b-3bb43437b3cd" targetNamespace="http://schemas.microsoft.com/office/2006/metadata/properties" ma:root="true" ma:fieldsID="41671e9cc5787bf58a00effd4a36bbd5" ns1:_="" ns2:_="" ns3:_="">
    <xsd:import namespace="http://schemas.microsoft.com/sharepoint/v3"/>
    <xsd:import namespace="6afba18d-43fd-42d3-82f6-e46f17c33fff"/>
    <xsd:import namespace="2a97f660-af6b-4599-a74b-3bb43437b3c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fba18d-43fd-42d3-82f6-e46f17c33f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3fa422d-b078-4465-b183-b1da7bda2325}" ma:internalName="TaxCatchAll" ma:showField="CatchAllData" ma:web="6afba18d-43fd-42d3-82f6-e46f17c33f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97f660-af6b-4599-a74b-3bb43437b3c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CB5DFF-B934-4339-85CD-FD78A9D09858}">
  <ds:schemaRefs>
    <ds:schemaRef ds:uri="http://schemas.microsoft.com/sharepoint/v3/contenttype/forms"/>
  </ds:schemaRefs>
</ds:datastoreItem>
</file>

<file path=customXml/itemProps2.xml><?xml version="1.0" encoding="utf-8"?>
<ds:datastoreItem xmlns:ds="http://schemas.openxmlformats.org/officeDocument/2006/customXml" ds:itemID="{2F714A12-49E4-48A4-9231-FF022C412A57}">
  <ds:schemaRefs>
    <ds:schemaRef ds:uri="http://schemas.microsoft.com/office/2006/metadata/properties"/>
    <ds:schemaRef ds:uri="http://schemas.microsoft.com/office/infopath/2007/PartnerControls"/>
    <ds:schemaRef ds:uri="http://schemas.microsoft.com/sharepoint/v3"/>
    <ds:schemaRef ds:uri="6afba18d-43fd-42d3-82f6-e46f17c33fff"/>
    <ds:schemaRef ds:uri="2a97f660-af6b-4599-a74b-3bb43437b3cd"/>
  </ds:schemaRefs>
</ds:datastoreItem>
</file>

<file path=customXml/itemProps3.xml><?xml version="1.0" encoding="utf-8"?>
<ds:datastoreItem xmlns:ds="http://schemas.openxmlformats.org/officeDocument/2006/customXml" ds:itemID="{8922A972-B7D5-4D8C-9837-0BE3CF30C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fba18d-43fd-42d3-82f6-e46f17c33fff"/>
    <ds:schemaRef ds:uri="2a97f660-af6b-4599-a74b-3bb43437b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312AE4-16F1-43F6-A9CF-AF89A9A8D41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1726</Words>
  <Characters>9496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Palmaers Bart</dc:creator>
  <cp:keywords/>
  <dc:description/>
  <cp:lastModifiedBy>Huyge Els</cp:lastModifiedBy>
  <cp:revision>19</cp:revision>
  <dcterms:created xsi:type="dcterms:W3CDTF">2022-08-30T12:33:00Z</dcterms:created>
  <dcterms:modified xsi:type="dcterms:W3CDTF">2022-09-01T09:55:00Z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0x0101005C9C0A69CFE5BD4D9C75C9CEDBE3DD6D</vt:lpwstr>
  </property>
  <property fmtid="{D5CDD505-2E9C-101B-9397-08002B2CF9AE}" pid="3" name="_dlc_DocIdItemGuid">
    <vt:lpwstr>4034ad89-c1a4-4601-8622-c19af77ffd94</vt:lpwstr>
  </property>
  <property fmtid="{D5CDD505-2E9C-101B-9397-08002B2CF9AE}" pid="4" name="MediaServiceImageTags">
    <vt:lpwstr/>
  </property>
</Properties>
</file>